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3D34C14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892027">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4C0B61">
        <w:rPr>
          <w:rFonts w:ascii="Trebuchet MS" w:hAnsi="Trebuchet MS" w:cs="Arial"/>
          <w:b/>
          <w:noProof/>
          <w:sz w:val="22"/>
          <w:szCs w:val="22"/>
          <w:lang w:val="en-GB"/>
        </w:rPr>
        <w:t>29</w:t>
      </w:r>
      <w:r w:rsidR="009A23FA" w:rsidRPr="001D116A">
        <w:rPr>
          <w:rFonts w:ascii="Trebuchet MS" w:hAnsi="Trebuchet MS" w:cs="Arial"/>
          <w:b/>
          <w:noProof/>
          <w:sz w:val="22"/>
          <w:szCs w:val="22"/>
          <w:lang w:val="en-GB"/>
        </w:rPr>
        <w:t>/</w:t>
      </w:r>
      <w:r w:rsidR="004C0B61">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2C47486" w14:textId="6415BB55"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17</w:t>
      </w:r>
      <w:r w:rsidR="00F32950">
        <w:rPr>
          <w:rFonts w:ascii="Trebuchet MS" w:hAnsi="Trebuchet MS" w:cs="Arial"/>
          <w:b/>
          <w:noProof/>
          <w:sz w:val="22"/>
          <w:szCs w:val="22"/>
          <w:lang w:val="en-GB"/>
        </w:rPr>
        <w:t>,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15B6E54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2486181A" w14:textId="77777777"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______voting rights in the O</w:t>
      </w:r>
      <w:r w:rsidRPr="001D116A">
        <w:rPr>
          <w:rFonts w:ascii="Trebuchet MS" w:hAnsi="Trebuchet MS" w:cs="Arial"/>
          <w:noProof/>
          <w:sz w:val="22"/>
          <w:szCs w:val="22"/>
          <w:lang w:val="en-GB"/>
        </w:rPr>
        <w:t>rdinary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4757725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00CA45BB"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6AE1CD6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7391EAA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FE3957B"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8EA6BEC"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43B0736"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17909197"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14:paraId="202E01C8" w14:textId="77777777"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14:paraId="20072AC7" w14:textId="77777777" w:rsidR="00A2229B" w:rsidRPr="001D116A" w:rsidRDefault="00A2229B" w:rsidP="00E90123">
      <w:pPr>
        <w:shd w:val="clear" w:color="auto" w:fill="FFFFFF"/>
        <w:jc w:val="both"/>
        <w:rPr>
          <w:rFonts w:ascii="Trebuchet MS" w:hAnsi="Trebuchet MS" w:cs="Arial"/>
          <w:noProof/>
          <w:sz w:val="22"/>
          <w:szCs w:val="22"/>
          <w:lang w:val="en-GB"/>
        </w:rPr>
      </w:pPr>
    </w:p>
    <w:p w14:paraId="4E00D4F5" w14:textId="19E36B5E"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29</w:t>
      </w:r>
      <w:r w:rsidR="00F32950">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OGMS of S.N.G.N. “ROMGAZ” - S.A is not held at the date of the first convening, at the date of the second convening of the OGMS of S.N.G.N. „ROMGAZ” - S.A., i.e.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30</w:t>
      </w:r>
      <w:r w:rsidR="00F32950">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17</w:t>
      </w:r>
      <w:r w:rsidR="00F32950">
        <w:rPr>
          <w:rFonts w:ascii="Trebuchet MS" w:hAnsi="Trebuchet MS" w:cs="Arial"/>
          <w:b/>
          <w:noProof/>
          <w:sz w:val="22"/>
          <w:szCs w:val="22"/>
          <w:lang w:val="en-GB"/>
        </w:rPr>
        <w:t>,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0F68B7B" w14:textId="77777777" w:rsidR="00462DAC" w:rsidRPr="001D116A" w:rsidRDefault="00462DAC" w:rsidP="00493C38">
      <w:pPr>
        <w:shd w:val="clear" w:color="auto" w:fill="FFFFFF"/>
        <w:jc w:val="both"/>
        <w:rPr>
          <w:rFonts w:ascii="Trebuchet MS" w:hAnsi="Trebuchet MS" w:cs="Arial"/>
          <w:noProof/>
          <w:sz w:val="22"/>
          <w:szCs w:val="22"/>
          <w:lang w:val="en-GB"/>
        </w:rPr>
      </w:pPr>
    </w:p>
    <w:p w14:paraId="5D51A44E" w14:textId="77777777" w:rsidR="00D11AF0" w:rsidRPr="001D116A" w:rsidRDefault="00D11AF0" w:rsidP="00960C04">
      <w:pPr>
        <w:shd w:val="clear" w:color="auto" w:fill="FFFFFF"/>
        <w:jc w:val="both"/>
        <w:rPr>
          <w:rFonts w:ascii="Trebuchet MS" w:hAnsi="Trebuchet MS" w:cs="Arial"/>
          <w:noProof/>
          <w:sz w:val="22"/>
          <w:szCs w:val="22"/>
          <w:lang w:val="en-GB"/>
        </w:rPr>
      </w:pPr>
    </w:p>
    <w:p w14:paraId="43D2583C" w14:textId="77777777" w:rsidR="004C0B61" w:rsidRDefault="004C0B61" w:rsidP="004C0B61">
      <w:pPr>
        <w:shd w:val="clear" w:color="auto" w:fill="FFFFFF"/>
        <w:jc w:val="both"/>
        <w:rPr>
          <w:rFonts w:ascii="Trebuchet MS" w:hAnsi="Trebuchet MS" w:cs="Arial"/>
          <w:noProof/>
          <w:sz w:val="22"/>
          <w:szCs w:val="22"/>
          <w:lang w:val="en-GB"/>
        </w:rPr>
      </w:pPr>
    </w:p>
    <w:p w14:paraId="5183FD8D" w14:textId="73489D95"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lastRenderedPageBreak/>
        <w:t xml:space="preserve">The draft resolution for item 1 on the agenda: </w:t>
      </w:r>
    </w:p>
    <w:p w14:paraId="4FA2F9A4"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Approves the Consolidated Board of Directors' Report for the year 2024”.</w:t>
      </w:r>
    </w:p>
    <w:p w14:paraId="3A4FE63D" w14:textId="77777777" w:rsidR="004C0B61" w:rsidRPr="004C0B61" w:rsidRDefault="004C0B61" w:rsidP="004C0B61">
      <w:pPr>
        <w:jc w:val="both"/>
        <w:rPr>
          <w:rFonts w:ascii="Trebuchet MS" w:hAnsi="Trebuchet MS" w:cs="Arial"/>
          <w:b/>
          <w:noProof/>
          <w:sz w:val="22"/>
          <w:szCs w:val="22"/>
          <w:lang w:val="en-GB"/>
        </w:rPr>
      </w:pPr>
    </w:p>
    <w:p w14:paraId="26408DF3"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5926A50"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2D053A08"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3C901CDF"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 on the agenda: </w:t>
      </w:r>
    </w:p>
    <w:p w14:paraId="7FB07A4A" w14:textId="4F79C12F"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bookmarkStart w:id="0" w:name="_Hlk194007494"/>
      <w:r w:rsidRPr="004C0B61">
        <w:rPr>
          <w:rFonts w:ascii="Trebuchet MS" w:hAnsi="Trebuchet MS" w:cs="Arial"/>
          <w:b/>
          <w:noProof/>
          <w:sz w:val="22"/>
          <w:szCs w:val="22"/>
          <w:lang w:val="en-GB"/>
        </w:rPr>
        <w:t xml:space="preserve">Takes note of the </w:t>
      </w:r>
      <w:bookmarkEnd w:id="0"/>
      <w:r w:rsidRPr="004C0B61">
        <w:rPr>
          <w:rFonts w:ascii="Trebuchet MS" w:hAnsi="Trebuchet MS" w:cs="Arial"/>
          <w:b/>
          <w:noProof/>
          <w:sz w:val="22"/>
          <w:szCs w:val="22"/>
          <w:lang w:val="en-GB"/>
        </w:rPr>
        <w:t xml:space="preserve">Report of the Independent Auditor Pricewaterhousecoopers Audit S.R.L. on the </w:t>
      </w:r>
      <w:r w:rsidR="004C3626">
        <w:rPr>
          <w:rFonts w:ascii="Trebuchet MS" w:hAnsi="Trebuchet MS" w:cs="Arial"/>
          <w:b/>
          <w:noProof/>
          <w:sz w:val="22"/>
          <w:szCs w:val="22"/>
          <w:lang w:val="en-GB"/>
        </w:rPr>
        <w:t>Separate</w:t>
      </w:r>
      <w:r w:rsidRPr="004C0B61">
        <w:rPr>
          <w:rFonts w:ascii="Trebuchet MS" w:hAnsi="Trebuchet MS" w:cs="Arial"/>
          <w:b/>
          <w:noProof/>
          <w:sz w:val="22"/>
          <w:szCs w:val="22"/>
          <w:lang w:val="en-GB"/>
        </w:rPr>
        <w:t xml:space="preserve"> Financial Statements of S.N.G.N. ROMGAZ S.A. for the year ended on December 31, 2024</w:t>
      </w:r>
      <w:r w:rsidRPr="004C0B61">
        <w:rPr>
          <w:rFonts w:ascii="Trebuchet MS" w:hAnsi="Trebuchet MS" w:cs="Arial"/>
          <w:b/>
          <w:noProof/>
          <w:sz w:val="22"/>
          <w:szCs w:val="22"/>
          <w:lang w:val="en-US"/>
        </w:rPr>
        <w:t>”.</w:t>
      </w:r>
    </w:p>
    <w:p w14:paraId="30505C93" w14:textId="77777777" w:rsidR="004C0B61" w:rsidRPr="004C0B61" w:rsidRDefault="004C0B61" w:rsidP="004C0B61">
      <w:pPr>
        <w:jc w:val="both"/>
        <w:rPr>
          <w:rFonts w:ascii="Trebuchet MS" w:hAnsi="Trebuchet MS" w:cs="Arial"/>
          <w:b/>
          <w:noProof/>
          <w:sz w:val="22"/>
          <w:szCs w:val="22"/>
          <w:lang w:val="en-GB"/>
        </w:rPr>
      </w:pPr>
    </w:p>
    <w:p w14:paraId="15FC3844"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8073969" w14:textId="77777777" w:rsidR="004C0B61" w:rsidRPr="004C0B61" w:rsidRDefault="004C0B61" w:rsidP="004C0B61">
      <w:pPr>
        <w:shd w:val="clear" w:color="auto" w:fill="FFFFFF"/>
        <w:jc w:val="both"/>
        <w:rPr>
          <w:rFonts w:ascii="Trebuchet MS" w:hAnsi="Trebuchet MS" w:cs="Arial"/>
          <w:noProof/>
          <w:sz w:val="22"/>
          <w:szCs w:val="22"/>
          <w:lang w:val="en-GB"/>
        </w:rPr>
      </w:pPr>
    </w:p>
    <w:p w14:paraId="1832272C" w14:textId="77777777" w:rsidR="004C0B61" w:rsidRPr="004C0B61" w:rsidRDefault="004C0B61" w:rsidP="004C0B61">
      <w:pPr>
        <w:shd w:val="clear" w:color="auto" w:fill="FFFFFF"/>
        <w:jc w:val="both"/>
        <w:rPr>
          <w:rFonts w:ascii="Trebuchet MS" w:hAnsi="Trebuchet MS" w:cs="Arial"/>
          <w:noProof/>
          <w:sz w:val="22"/>
          <w:szCs w:val="22"/>
          <w:lang w:val="en-GB"/>
        </w:rPr>
      </w:pPr>
    </w:p>
    <w:p w14:paraId="57157509"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3 on the agenda: </w:t>
      </w:r>
    </w:p>
    <w:p w14:paraId="6D37C0FE" w14:textId="7777777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 xml:space="preserve">Takes note of the Report of the Independent Auditor </w:t>
      </w:r>
      <w:r w:rsidRPr="004C0B61">
        <w:rPr>
          <w:rFonts w:ascii="Trebuchet MS" w:hAnsi="Trebuchet MS" w:cs="Arial"/>
          <w:b/>
          <w:iCs/>
          <w:noProof/>
          <w:sz w:val="22"/>
          <w:szCs w:val="22"/>
          <w:lang w:val="en-GB"/>
        </w:rPr>
        <w:t>Pricewaterhousecoopers</w:t>
      </w:r>
      <w:r w:rsidRPr="004C0B61">
        <w:rPr>
          <w:rFonts w:ascii="Trebuchet MS" w:hAnsi="Trebuchet MS" w:cs="Arial"/>
          <w:b/>
          <w:iCs/>
          <w:sz w:val="22"/>
          <w:szCs w:val="22"/>
          <w:lang w:val="en-GB"/>
        </w:rPr>
        <w:t xml:space="preserve"> Audit S.R.L. on the Consolidated Financial Statements of S.N.G.N. ROMGAZ S.A. Group for the year ended on December 31, 2024</w:t>
      </w:r>
      <w:r w:rsidRPr="004C0B61">
        <w:rPr>
          <w:rFonts w:ascii="Trebuchet MS" w:hAnsi="Trebuchet MS" w:cs="Arial"/>
          <w:b/>
          <w:noProof/>
          <w:sz w:val="22"/>
          <w:szCs w:val="22"/>
          <w:lang w:val="en-GB"/>
        </w:rPr>
        <w:t>”.</w:t>
      </w:r>
    </w:p>
    <w:p w14:paraId="0EF3D19A" w14:textId="77777777" w:rsidR="004C0B61" w:rsidRPr="004C0B61" w:rsidRDefault="004C0B61" w:rsidP="004C0B61">
      <w:pPr>
        <w:ind w:right="9"/>
        <w:jc w:val="both"/>
        <w:rPr>
          <w:rFonts w:ascii="Trebuchet MS" w:hAnsi="Trebuchet MS" w:cs="Arial"/>
          <w:b/>
          <w:sz w:val="22"/>
          <w:szCs w:val="22"/>
          <w:lang w:val="en-GB"/>
        </w:rPr>
      </w:pPr>
    </w:p>
    <w:p w14:paraId="3ABCC834"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775942C3" w14:textId="77777777" w:rsidR="004C0B61" w:rsidRPr="004C0B61" w:rsidRDefault="004C0B61" w:rsidP="004C0B61">
      <w:pPr>
        <w:shd w:val="clear" w:color="auto" w:fill="FFFFFF"/>
        <w:jc w:val="both"/>
        <w:rPr>
          <w:rFonts w:ascii="Trebuchet MS" w:hAnsi="Trebuchet MS" w:cs="Arial"/>
          <w:noProof/>
          <w:sz w:val="22"/>
          <w:szCs w:val="22"/>
          <w:lang w:val="en-GB"/>
        </w:rPr>
      </w:pPr>
    </w:p>
    <w:p w14:paraId="0C9448FA" w14:textId="77777777" w:rsidR="00282675" w:rsidRDefault="00282675" w:rsidP="004C0B61">
      <w:pPr>
        <w:shd w:val="clear" w:color="auto" w:fill="FFFFFF"/>
        <w:jc w:val="both"/>
        <w:rPr>
          <w:rFonts w:ascii="Trebuchet MS" w:hAnsi="Trebuchet MS" w:cs="Arial"/>
          <w:noProof/>
          <w:sz w:val="22"/>
          <w:szCs w:val="22"/>
          <w:lang w:val="en-GB"/>
        </w:rPr>
      </w:pPr>
    </w:p>
    <w:p w14:paraId="366324CF" w14:textId="1CD75994"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4 on the agenda: </w:t>
      </w:r>
    </w:p>
    <w:p w14:paraId="1487D751" w14:textId="31AACB60"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Approves the </w:t>
      </w:r>
      <w:r w:rsidR="004C3626">
        <w:rPr>
          <w:rFonts w:ascii="Trebuchet MS" w:eastAsia="Times New Roman" w:hAnsi="Trebuchet MS"/>
          <w:b/>
          <w:sz w:val="22"/>
          <w:szCs w:val="22"/>
          <w:lang w:val="en-US"/>
        </w:rPr>
        <w:t>Separate</w:t>
      </w:r>
      <w:r w:rsidRPr="004C0B61">
        <w:rPr>
          <w:rFonts w:ascii="Trebuchet MS" w:eastAsia="Times New Roman" w:hAnsi="Trebuchet MS"/>
          <w:b/>
          <w:sz w:val="22"/>
          <w:szCs w:val="22"/>
          <w:lang w:val="en-US"/>
        </w:rPr>
        <w:t xml:space="preserve"> Financial Statements of </w:t>
      </w:r>
      <w:bookmarkStart w:id="1" w:name="_Hlk194009291"/>
      <w:r w:rsidRPr="004C0B61">
        <w:rPr>
          <w:rFonts w:ascii="Trebuchet MS" w:eastAsia="Times New Roman" w:hAnsi="Trebuchet MS"/>
          <w:b/>
          <w:sz w:val="22"/>
          <w:szCs w:val="22"/>
          <w:lang w:val="en-US"/>
        </w:rPr>
        <w:t xml:space="preserve">S.N.G.N. ROMGAZ S.A. </w:t>
      </w:r>
      <w:bookmarkEnd w:id="1"/>
      <w:r w:rsidRPr="004C0B61">
        <w:rPr>
          <w:rFonts w:ascii="Trebuchet MS" w:eastAsia="Times New Roman" w:hAnsi="Trebuchet MS"/>
          <w:b/>
          <w:sz w:val="22"/>
          <w:szCs w:val="22"/>
          <w:lang w:val="en-US"/>
        </w:rPr>
        <w:t>for the year ended on December 31, 2024, prepared in compliance with the Order of the Ministry for Public Finances no. 2844/2016”.</w:t>
      </w:r>
    </w:p>
    <w:p w14:paraId="3A5C0828" w14:textId="77777777" w:rsidR="004C0B61" w:rsidRPr="004C0B61" w:rsidRDefault="004C0B61" w:rsidP="004C0B61">
      <w:pPr>
        <w:jc w:val="both"/>
        <w:rPr>
          <w:rFonts w:ascii="Trebuchet MS" w:hAnsi="Trebuchet MS" w:cs="Arial"/>
          <w:b/>
          <w:noProof/>
          <w:sz w:val="22"/>
          <w:szCs w:val="22"/>
          <w:lang w:val="en-GB"/>
        </w:rPr>
      </w:pPr>
    </w:p>
    <w:p w14:paraId="77B1B62D"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77A6DFC5"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57E3797B"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4CB859B2"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5 on the agenda: </w:t>
      </w:r>
    </w:p>
    <w:p w14:paraId="5755DEB9"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eastAsia="Times New Roman"/>
          <w:lang w:val="en-US"/>
        </w:rPr>
        <w:t xml:space="preserve"> </w:t>
      </w:r>
      <w:r w:rsidRPr="004C0B61">
        <w:rPr>
          <w:rFonts w:ascii="Trebuchet MS" w:hAnsi="Trebuchet MS" w:cs="Arial"/>
          <w:b/>
          <w:noProof/>
          <w:sz w:val="22"/>
          <w:szCs w:val="22"/>
          <w:lang w:val="en-GB"/>
        </w:rPr>
        <w:t>Approves the Consolidated Financial Statements of S.N.G.N. ROMGAZ S.A. Group for the year ended on December 31, 2024, prepared in compliance with the Order of the Ministry for Public Finances no. 2844/2016</w:t>
      </w:r>
      <w:r w:rsidRPr="004C0B61">
        <w:rPr>
          <w:rFonts w:ascii="Trebuchet MS" w:hAnsi="Trebuchet MS" w:cs="Arial"/>
          <w:b/>
          <w:noProof/>
          <w:sz w:val="22"/>
          <w:szCs w:val="22"/>
          <w:lang w:val="en-US"/>
        </w:rPr>
        <w:t>”.</w:t>
      </w:r>
    </w:p>
    <w:p w14:paraId="144E4FFA" w14:textId="77777777" w:rsidR="004C0B61" w:rsidRPr="004C0B61" w:rsidRDefault="004C0B61" w:rsidP="004C0B61">
      <w:pPr>
        <w:jc w:val="both"/>
        <w:rPr>
          <w:rFonts w:ascii="Trebuchet MS" w:hAnsi="Trebuchet MS" w:cs="Arial"/>
          <w:b/>
          <w:noProof/>
          <w:sz w:val="22"/>
          <w:szCs w:val="22"/>
          <w:lang w:val="en-GB"/>
        </w:rPr>
      </w:pPr>
    </w:p>
    <w:p w14:paraId="1B5EEB76"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37BC5D7" w14:textId="77777777" w:rsidR="004C0B61" w:rsidRPr="004C0B61" w:rsidRDefault="004C0B61" w:rsidP="004C0B61">
      <w:pPr>
        <w:shd w:val="clear" w:color="auto" w:fill="FFFFFF"/>
        <w:jc w:val="both"/>
        <w:rPr>
          <w:rFonts w:ascii="Trebuchet MS" w:hAnsi="Trebuchet MS" w:cs="Arial"/>
          <w:noProof/>
          <w:sz w:val="22"/>
          <w:szCs w:val="22"/>
          <w:lang w:val="en-GB"/>
        </w:rPr>
      </w:pPr>
    </w:p>
    <w:p w14:paraId="5E6196E1" w14:textId="77777777" w:rsidR="004C0B61" w:rsidRPr="004C0B61" w:rsidRDefault="004C0B61" w:rsidP="004C0B61">
      <w:pPr>
        <w:shd w:val="clear" w:color="auto" w:fill="FFFFFF"/>
        <w:jc w:val="both"/>
        <w:rPr>
          <w:rFonts w:ascii="Trebuchet MS" w:hAnsi="Trebuchet MS" w:cs="Arial"/>
          <w:noProof/>
          <w:sz w:val="22"/>
          <w:szCs w:val="22"/>
          <w:lang w:val="en-GB"/>
        </w:rPr>
      </w:pPr>
    </w:p>
    <w:p w14:paraId="60E62468"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6 on the agenda: </w:t>
      </w:r>
    </w:p>
    <w:p w14:paraId="780F8E7B" w14:textId="77777777" w:rsidR="004C0B61" w:rsidRPr="004C0B61" w:rsidRDefault="004C0B61" w:rsidP="004C0B61">
      <w:pPr>
        <w:ind w:right="9"/>
        <w:jc w:val="both"/>
        <w:rPr>
          <w:rFonts w:ascii="Trebuchet MS" w:hAnsi="Trebuchet MS" w:cs="Arial"/>
          <w:b/>
          <w:noProof/>
          <w:sz w:val="22"/>
          <w:szCs w:val="22"/>
          <w:lang w:val="en-GB"/>
        </w:rPr>
      </w:pPr>
      <w:r w:rsidRPr="004C0B61">
        <w:rPr>
          <w:rFonts w:ascii="Trebuchet MS" w:hAnsi="Trebuchet MS" w:cs="Arial"/>
          <w:b/>
          <w:noProof/>
          <w:sz w:val="22"/>
          <w:szCs w:val="22"/>
          <w:lang w:val="en-GB"/>
        </w:rPr>
        <w:t>Approves the distribution of net profit achieved by S.N.G.N. “ROMGAZ”- S.A. in 2023, as follows:</w:t>
      </w:r>
    </w:p>
    <w:tbl>
      <w:tblPr>
        <w:tblW w:w="9705" w:type="dxa"/>
        <w:tblLayout w:type="fixed"/>
        <w:tblLook w:val="04A0" w:firstRow="1" w:lastRow="0" w:firstColumn="1" w:lastColumn="0" w:noHBand="0" w:noVBand="1"/>
      </w:tblPr>
      <w:tblGrid>
        <w:gridCol w:w="800"/>
        <w:gridCol w:w="6705"/>
        <w:gridCol w:w="2200"/>
      </w:tblGrid>
      <w:tr w:rsidR="004C0B61" w:rsidRPr="004C0B61" w14:paraId="3DB422E7" w14:textId="77777777" w:rsidTr="001A744F">
        <w:trPr>
          <w:trHeight w:val="470"/>
          <w:tblHeader/>
        </w:trPr>
        <w:tc>
          <w:tcPr>
            <w:tcW w:w="800" w:type="dxa"/>
            <w:tcBorders>
              <w:top w:val="single" w:sz="8" w:space="0" w:color="auto"/>
              <w:left w:val="single" w:sz="8" w:space="0" w:color="auto"/>
              <w:bottom w:val="single" w:sz="4" w:space="0" w:color="auto"/>
              <w:right w:val="single" w:sz="4" w:space="0" w:color="auto"/>
            </w:tcBorders>
            <w:vAlign w:val="center"/>
            <w:hideMark/>
          </w:tcPr>
          <w:p w14:paraId="07DA09AF"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I</w:t>
            </w:r>
          </w:p>
        </w:tc>
        <w:tc>
          <w:tcPr>
            <w:tcW w:w="6705" w:type="dxa"/>
            <w:tcBorders>
              <w:top w:val="single" w:sz="8" w:space="0" w:color="auto"/>
              <w:left w:val="nil"/>
              <w:bottom w:val="single" w:sz="4" w:space="0" w:color="auto"/>
              <w:right w:val="single" w:sz="4" w:space="0" w:color="auto"/>
            </w:tcBorders>
            <w:vAlign w:val="center"/>
            <w:hideMark/>
          </w:tcPr>
          <w:p w14:paraId="52B241EF"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Indicators</w:t>
            </w:r>
          </w:p>
        </w:tc>
        <w:tc>
          <w:tcPr>
            <w:tcW w:w="2200" w:type="dxa"/>
            <w:tcBorders>
              <w:top w:val="single" w:sz="8" w:space="0" w:color="auto"/>
              <w:left w:val="nil"/>
              <w:bottom w:val="single" w:sz="4" w:space="0" w:color="auto"/>
              <w:right w:val="single" w:sz="8" w:space="0" w:color="auto"/>
            </w:tcBorders>
            <w:vAlign w:val="center"/>
            <w:hideMark/>
          </w:tcPr>
          <w:p w14:paraId="1B9852FB"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 Year 2024                                     (RON)</w:t>
            </w:r>
          </w:p>
        </w:tc>
      </w:tr>
      <w:tr w:rsidR="004C0B61" w:rsidRPr="004C0B61" w14:paraId="51D49C42" w14:textId="77777777" w:rsidTr="001A744F">
        <w:trPr>
          <w:trHeight w:val="105"/>
        </w:trPr>
        <w:tc>
          <w:tcPr>
            <w:tcW w:w="800" w:type="dxa"/>
            <w:tcBorders>
              <w:top w:val="nil"/>
              <w:left w:val="single" w:sz="8" w:space="0" w:color="auto"/>
              <w:bottom w:val="single" w:sz="4" w:space="0" w:color="auto"/>
              <w:right w:val="single" w:sz="4" w:space="0" w:color="auto"/>
            </w:tcBorders>
            <w:vAlign w:val="center"/>
            <w:hideMark/>
          </w:tcPr>
          <w:p w14:paraId="42ABC8D7"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0</w:t>
            </w:r>
          </w:p>
        </w:tc>
        <w:tc>
          <w:tcPr>
            <w:tcW w:w="6705" w:type="dxa"/>
            <w:tcBorders>
              <w:top w:val="nil"/>
              <w:left w:val="nil"/>
              <w:bottom w:val="single" w:sz="4" w:space="0" w:color="auto"/>
              <w:right w:val="single" w:sz="4" w:space="0" w:color="auto"/>
            </w:tcBorders>
            <w:vAlign w:val="center"/>
            <w:hideMark/>
          </w:tcPr>
          <w:p w14:paraId="5344C08A"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1</w:t>
            </w:r>
          </w:p>
        </w:tc>
        <w:tc>
          <w:tcPr>
            <w:tcW w:w="2200" w:type="dxa"/>
            <w:tcBorders>
              <w:top w:val="nil"/>
              <w:left w:val="nil"/>
              <w:bottom w:val="single" w:sz="4" w:space="0" w:color="auto"/>
              <w:right w:val="single" w:sz="8" w:space="0" w:color="auto"/>
            </w:tcBorders>
            <w:vAlign w:val="center"/>
            <w:hideMark/>
          </w:tcPr>
          <w:p w14:paraId="0F9B3F35"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2</w:t>
            </w:r>
          </w:p>
        </w:tc>
      </w:tr>
      <w:tr w:rsidR="004C0B61" w:rsidRPr="004C0B61" w14:paraId="6679DE9E"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647B7F2B"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70CA83BD"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Gross result of the financial year</w:t>
            </w:r>
          </w:p>
        </w:tc>
        <w:tc>
          <w:tcPr>
            <w:tcW w:w="2200" w:type="dxa"/>
            <w:tcBorders>
              <w:top w:val="single" w:sz="4" w:space="0" w:color="auto"/>
              <w:left w:val="nil"/>
              <w:bottom w:val="single" w:sz="4" w:space="0" w:color="auto"/>
              <w:right w:val="single" w:sz="4" w:space="0" w:color="auto"/>
            </w:tcBorders>
            <w:vAlign w:val="center"/>
            <w:hideMark/>
          </w:tcPr>
          <w:p w14:paraId="242CD1D0"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3,497,095,808.98</w:t>
            </w:r>
          </w:p>
        </w:tc>
      </w:tr>
      <w:tr w:rsidR="004C0B61" w:rsidRPr="004C0B61" w14:paraId="2CEF6C52"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6C5E4D3B"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78C5B79B"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Current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5421BA28"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449,143,970.00</w:t>
            </w:r>
          </w:p>
        </w:tc>
      </w:tr>
      <w:tr w:rsidR="004C0B61" w:rsidRPr="004C0B61" w14:paraId="334F1EB9"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781B4CD1"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4A5EF59F"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Revenue from deferred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3801ACCE"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42,745,020.63</w:t>
            </w:r>
          </w:p>
        </w:tc>
      </w:tr>
      <w:tr w:rsidR="004C0B61" w:rsidRPr="004C0B61" w14:paraId="70396BD1"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7D5A6869"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10646FBF"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Deferred income tax </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81F9F91"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0.00</w:t>
            </w:r>
          </w:p>
        </w:tc>
      </w:tr>
      <w:tr w:rsidR="004C0B61" w:rsidRPr="004C0B61" w14:paraId="5CFDE4C2" w14:textId="77777777" w:rsidTr="001A744F">
        <w:trPr>
          <w:trHeight w:val="609"/>
        </w:trPr>
        <w:tc>
          <w:tcPr>
            <w:tcW w:w="800" w:type="dxa"/>
            <w:tcBorders>
              <w:top w:val="nil"/>
              <w:left w:val="single" w:sz="8" w:space="0" w:color="auto"/>
              <w:bottom w:val="single" w:sz="4" w:space="0" w:color="auto"/>
              <w:right w:val="single" w:sz="4" w:space="0" w:color="auto"/>
            </w:tcBorders>
            <w:vAlign w:val="center"/>
            <w:hideMark/>
          </w:tcPr>
          <w:p w14:paraId="65EA31BA"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64828FB3"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Net result of the financial year [A-B+C-C.1], (accounting profit after corporate income tax deduction), including:</w:t>
            </w:r>
          </w:p>
        </w:tc>
        <w:tc>
          <w:tcPr>
            <w:tcW w:w="2200" w:type="dxa"/>
            <w:tcBorders>
              <w:top w:val="single" w:sz="4" w:space="0" w:color="auto"/>
              <w:left w:val="nil"/>
              <w:bottom w:val="single" w:sz="4" w:space="0" w:color="auto"/>
              <w:right w:val="single" w:sz="4" w:space="0" w:color="auto"/>
            </w:tcBorders>
            <w:vAlign w:val="center"/>
            <w:hideMark/>
          </w:tcPr>
          <w:p w14:paraId="7FCFABC7"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3,090,696,859.61</w:t>
            </w:r>
          </w:p>
        </w:tc>
      </w:tr>
      <w:tr w:rsidR="004C0B61" w:rsidRPr="004C0B61" w14:paraId="2BADDBDB" w14:textId="77777777" w:rsidTr="001A744F">
        <w:trPr>
          <w:trHeight w:val="179"/>
        </w:trPr>
        <w:tc>
          <w:tcPr>
            <w:tcW w:w="800" w:type="dxa"/>
            <w:tcBorders>
              <w:top w:val="nil"/>
              <w:left w:val="single" w:sz="8" w:space="0" w:color="auto"/>
              <w:bottom w:val="single" w:sz="4" w:space="0" w:color="auto"/>
              <w:right w:val="single" w:sz="4" w:space="0" w:color="auto"/>
            </w:tcBorders>
            <w:vAlign w:val="center"/>
            <w:hideMark/>
          </w:tcPr>
          <w:p w14:paraId="133DBCDF"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42837B0C"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Legal reserves</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49145280"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174,854,790.00</w:t>
            </w:r>
          </w:p>
        </w:tc>
      </w:tr>
      <w:tr w:rsidR="004C0B61" w:rsidRPr="004C0B61" w14:paraId="2108E097" w14:textId="77777777" w:rsidTr="001A744F">
        <w:trPr>
          <w:trHeight w:val="481"/>
        </w:trPr>
        <w:tc>
          <w:tcPr>
            <w:tcW w:w="800" w:type="dxa"/>
            <w:tcBorders>
              <w:top w:val="nil"/>
              <w:left w:val="single" w:sz="8" w:space="0" w:color="auto"/>
              <w:bottom w:val="single" w:sz="4" w:space="0" w:color="auto"/>
              <w:right w:val="single" w:sz="4" w:space="0" w:color="auto"/>
            </w:tcBorders>
            <w:vAlign w:val="center"/>
            <w:hideMark/>
          </w:tcPr>
          <w:p w14:paraId="47D834DA"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4C70764C"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Other reserves representing fiscal facilities provided by law (Law no. 227/2015 - Article 22)</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1177190E"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43,754,915.46</w:t>
            </w:r>
          </w:p>
        </w:tc>
      </w:tr>
      <w:tr w:rsidR="004C0B61" w:rsidRPr="004C0B61" w14:paraId="4F2A7576" w14:textId="77777777" w:rsidTr="001A744F">
        <w:trPr>
          <w:trHeight w:val="248"/>
        </w:trPr>
        <w:tc>
          <w:tcPr>
            <w:tcW w:w="800" w:type="dxa"/>
            <w:tcBorders>
              <w:top w:val="nil"/>
              <w:left w:val="single" w:sz="8" w:space="0" w:color="auto"/>
              <w:bottom w:val="single" w:sz="4" w:space="0" w:color="auto"/>
              <w:right w:val="single" w:sz="4" w:space="0" w:color="auto"/>
            </w:tcBorders>
            <w:vAlign w:val="center"/>
            <w:hideMark/>
          </w:tcPr>
          <w:p w14:paraId="6C9CC4AA"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lastRenderedPageBreak/>
              <w:t>c</w:t>
            </w:r>
          </w:p>
        </w:tc>
        <w:tc>
          <w:tcPr>
            <w:tcW w:w="6705" w:type="dxa"/>
            <w:tcBorders>
              <w:top w:val="nil"/>
              <w:left w:val="nil"/>
              <w:bottom w:val="single" w:sz="4" w:space="0" w:color="auto"/>
              <w:right w:val="single" w:sz="4" w:space="0" w:color="auto"/>
            </w:tcBorders>
            <w:shd w:val="clear" w:color="auto" w:fill="auto"/>
            <w:vAlign w:val="center"/>
            <w:hideMark/>
          </w:tcPr>
          <w:p w14:paraId="5531965B"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Coverage of accounting losses from previous years (in accordance with Article 1, paragraph (1), c) of GO no. 64/2001)</w:t>
            </w:r>
          </w:p>
        </w:tc>
        <w:tc>
          <w:tcPr>
            <w:tcW w:w="2200" w:type="dxa"/>
            <w:tcBorders>
              <w:top w:val="single" w:sz="4" w:space="0" w:color="auto"/>
              <w:left w:val="nil"/>
              <w:bottom w:val="single" w:sz="4" w:space="0" w:color="auto"/>
              <w:right w:val="single" w:sz="4" w:space="0" w:color="auto"/>
            </w:tcBorders>
            <w:vAlign w:val="center"/>
            <w:hideMark/>
          </w:tcPr>
          <w:p w14:paraId="6A6210C6"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4C0B61" w:rsidRPr="004C0B61" w14:paraId="514A749D" w14:textId="77777777" w:rsidTr="001A744F">
        <w:trPr>
          <w:trHeight w:val="723"/>
        </w:trPr>
        <w:tc>
          <w:tcPr>
            <w:tcW w:w="800" w:type="dxa"/>
            <w:tcBorders>
              <w:top w:val="nil"/>
              <w:left w:val="single" w:sz="8" w:space="0" w:color="auto"/>
              <w:bottom w:val="single" w:sz="4" w:space="0" w:color="auto"/>
              <w:right w:val="single" w:sz="4" w:space="0" w:color="auto"/>
            </w:tcBorders>
            <w:vAlign w:val="center"/>
            <w:hideMark/>
          </w:tcPr>
          <w:p w14:paraId="2AE92189"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4CB84D4D"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Establishing own financing sources for co-financed projects from external loans (in accordance with Article 1, paragraph (1), c^1 of GO no. 64/2001)</w:t>
            </w:r>
          </w:p>
        </w:tc>
        <w:tc>
          <w:tcPr>
            <w:tcW w:w="2200" w:type="dxa"/>
            <w:tcBorders>
              <w:top w:val="single" w:sz="4" w:space="0" w:color="auto"/>
              <w:left w:val="nil"/>
              <w:bottom w:val="single" w:sz="4" w:space="0" w:color="auto"/>
              <w:right w:val="single" w:sz="4" w:space="0" w:color="auto"/>
            </w:tcBorders>
            <w:vAlign w:val="center"/>
            <w:hideMark/>
          </w:tcPr>
          <w:p w14:paraId="557A5638"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4C0B61" w:rsidRPr="004C0B61" w14:paraId="5E05A1CD" w14:textId="77777777" w:rsidTr="001A744F">
        <w:trPr>
          <w:trHeight w:val="238"/>
        </w:trPr>
        <w:tc>
          <w:tcPr>
            <w:tcW w:w="800" w:type="dxa"/>
            <w:tcBorders>
              <w:top w:val="nil"/>
              <w:left w:val="single" w:sz="8" w:space="0" w:color="auto"/>
              <w:bottom w:val="single" w:sz="4" w:space="0" w:color="auto"/>
              <w:right w:val="single" w:sz="4" w:space="0" w:color="auto"/>
            </w:tcBorders>
            <w:vAlign w:val="center"/>
            <w:hideMark/>
          </w:tcPr>
          <w:p w14:paraId="306895CF"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3747F9D2"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Other distributions as provided by special laws</w:t>
            </w:r>
          </w:p>
        </w:tc>
        <w:tc>
          <w:tcPr>
            <w:tcW w:w="2200" w:type="dxa"/>
            <w:tcBorders>
              <w:top w:val="single" w:sz="4" w:space="0" w:color="auto"/>
              <w:left w:val="nil"/>
              <w:bottom w:val="single" w:sz="4" w:space="0" w:color="auto"/>
              <w:right w:val="single" w:sz="4" w:space="0" w:color="auto"/>
            </w:tcBorders>
            <w:vAlign w:val="center"/>
            <w:hideMark/>
          </w:tcPr>
          <w:p w14:paraId="5F47BC0A"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 </w:t>
            </w:r>
          </w:p>
        </w:tc>
      </w:tr>
      <w:tr w:rsidR="004C0B61" w:rsidRPr="004C0B61" w14:paraId="275ADC67"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191D0AF8"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xml:space="preserve">E </w:t>
            </w:r>
          </w:p>
        </w:tc>
        <w:tc>
          <w:tcPr>
            <w:tcW w:w="6705" w:type="dxa"/>
            <w:tcBorders>
              <w:top w:val="nil"/>
              <w:left w:val="nil"/>
              <w:bottom w:val="single" w:sz="4" w:space="0" w:color="auto"/>
              <w:right w:val="single" w:sz="4" w:space="0" w:color="auto"/>
            </w:tcBorders>
            <w:shd w:val="clear" w:color="auto" w:fill="auto"/>
            <w:vAlign w:val="center"/>
            <w:hideMark/>
          </w:tcPr>
          <w:p w14:paraId="0A3A893D"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Remaining net profit to be distributed (D-a-b-c-c1-d)</w:t>
            </w:r>
          </w:p>
        </w:tc>
        <w:tc>
          <w:tcPr>
            <w:tcW w:w="2200" w:type="dxa"/>
            <w:tcBorders>
              <w:top w:val="single" w:sz="4" w:space="0" w:color="auto"/>
              <w:left w:val="nil"/>
              <w:bottom w:val="single" w:sz="4" w:space="0" w:color="auto"/>
              <w:right w:val="single" w:sz="4" w:space="0" w:color="auto"/>
            </w:tcBorders>
            <w:vAlign w:val="center"/>
            <w:hideMark/>
          </w:tcPr>
          <w:p w14:paraId="02AFA508"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2,872,087,154.15</w:t>
            </w:r>
          </w:p>
        </w:tc>
      </w:tr>
      <w:tr w:rsidR="004C0B61" w:rsidRPr="004C0B61" w14:paraId="15EFEDDD" w14:textId="77777777" w:rsidTr="001A744F">
        <w:trPr>
          <w:trHeight w:val="317"/>
        </w:trPr>
        <w:tc>
          <w:tcPr>
            <w:tcW w:w="800" w:type="dxa"/>
            <w:tcBorders>
              <w:top w:val="nil"/>
              <w:left w:val="single" w:sz="8" w:space="0" w:color="auto"/>
              <w:bottom w:val="single" w:sz="4" w:space="0" w:color="auto"/>
              <w:right w:val="single" w:sz="4" w:space="0" w:color="auto"/>
            </w:tcBorders>
            <w:vAlign w:val="center"/>
            <w:hideMark/>
          </w:tcPr>
          <w:p w14:paraId="63C6339C"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w:t>
            </w:r>
          </w:p>
        </w:tc>
        <w:tc>
          <w:tcPr>
            <w:tcW w:w="6705" w:type="dxa"/>
            <w:tcBorders>
              <w:top w:val="nil"/>
              <w:left w:val="nil"/>
              <w:bottom w:val="single" w:sz="4" w:space="0" w:color="auto"/>
              <w:right w:val="single" w:sz="4" w:space="0" w:color="auto"/>
            </w:tcBorders>
            <w:shd w:val="clear" w:color="auto" w:fill="auto"/>
            <w:vAlign w:val="center"/>
            <w:hideMark/>
          </w:tcPr>
          <w:p w14:paraId="45B6D07F"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Employees’ participation to profit (in accordance with Article 1, paragraph (1), e) of GO no. 64/2001)</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11697666"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position w:val="8"/>
                <w:sz w:val="22"/>
                <w:szCs w:val="22"/>
                <w:lang w:val="en-GB"/>
              </w:rPr>
              <w:t>46,938,504.00</w:t>
            </w:r>
          </w:p>
        </w:tc>
      </w:tr>
      <w:tr w:rsidR="004C0B61" w:rsidRPr="004C0B61" w14:paraId="0D2B7D15" w14:textId="77777777" w:rsidTr="001A744F">
        <w:trPr>
          <w:trHeight w:val="509"/>
        </w:trPr>
        <w:tc>
          <w:tcPr>
            <w:tcW w:w="800" w:type="dxa"/>
            <w:tcBorders>
              <w:top w:val="nil"/>
              <w:left w:val="single" w:sz="8" w:space="0" w:color="auto"/>
              <w:bottom w:val="single" w:sz="4" w:space="0" w:color="auto"/>
              <w:right w:val="single" w:sz="4" w:space="0" w:color="auto"/>
            </w:tcBorders>
            <w:vAlign w:val="center"/>
            <w:hideMark/>
          </w:tcPr>
          <w:p w14:paraId="308503B7"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f</w:t>
            </w:r>
          </w:p>
        </w:tc>
        <w:tc>
          <w:tcPr>
            <w:tcW w:w="6705" w:type="dxa"/>
            <w:tcBorders>
              <w:top w:val="nil"/>
              <w:left w:val="nil"/>
              <w:bottom w:val="single" w:sz="4" w:space="0" w:color="auto"/>
              <w:right w:val="single" w:sz="4" w:space="0" w:color="auto"/>
            </w:tcBorders>
            <w:shd w:val="clear" w:color="auto" w:fill="auto"/>
            <w:vAlign w:val="center"/>
            <w:hideMark/>
          </w:tcPr>
          <w:p w14:paraId="79EC4171"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Dividends due to shareholders</w:t>
            </w:r>
            <w:r w:rsidRPr="004C0B61">
              <w:rPr>
                <w:rFonts w:ascii="Trebuchet MS" w:eastAsia="Calibri" w:hAnsi="Trebuchet MS" w:cs="Arial"/>
                <w:b/>
                <w:bCs/>
                <w:color w:val="000000"/>
                <w:position w:val="8"/>
                <w:sz w:val="22"/>
                <w:szCs w:val="22"/>
                <w:lang w:val="en-GB"/>
              </w:rPr>
              <w:t xml:space="preserve"> (approx. 50.01% of net profit to be distributed) [E+e]*50.01%</w:t>
            </w:r>
          </w:p>
        </w:tc>
        <w:tc>
          <w:tcPr>
            <w:tcW w:w="2200" w:type="dxa"/>
            <w:tcBorders>
              <w:top w:val="single" w:sz="4" w:space="0" w:color="auto"/>
              <w:left w:val="nil"/>
              <w:bottom w:val="single" w:sz="4" w:space="0" w:color="auto"/>
              <w:right w:val="single" w:sz="4" w:space="0" w:color="auto"/>
            </w:tcBorders>
            <w:vAlign w:val="center"/>
            <w:hideMark/>
          </w:tcPr>
          <w:p w14:paraId="77979491"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583,914,936.00</w:t>
            </w:r>
          </w:p>
        </w:tc>
      </w:tr>
      <w:tr w:rsidR="004C0B61" w:rsidRPr="004C0B61" w14:paraId="29BB8ABD"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586A5296"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01EF3B08"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f1) – dividends to the state budget </w:t>
            </w:r>
          </w:p>
        </w:tc>
        <w:tc>
          <w:tcPr>
            <w:tcW w:w="2200" w:type="dxa"/>
            <w:tcBorders>
              <w:top w:val="single" w:sz="4" w:space="0" w:color="auto"/>
              <w:left w:val="nil"/>
              <w:bottom w:val="single" w:sz="4" w:space="0" w:color="auto"/>
              <w:right w:val="single" w:sz="4" w:space="0" w:color="auto"/>
            </w:tcBorders>
            <w:vAlign w:val="center"/>
            <w:hideMark/>
          </w:tcPr>
          <w:p w14:paraId="51B86305"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408,781,966.20</w:t>
            </w:r>
          </w:p>
        </w:tc>
      </w:tr>
      <w:tr w:rsidR="004C0B61" w:rsidRPr="004C0B61" w14:paraId="3B8AB7F4" w14:textId="77777777" w:rsidTr="001A744F">
        <w:trPr>
          <w:trHeight w:val="360"/>
        </w:trPr>
        <w:tc>
          <w:tcPr>
            <w:tcW w:w="800" w:type="dxa"/>
            <w:tcBorders>
              <w:top w:val="nil"/>
              <w:left w:val="single" w:sz="8" w:space="0" w:color="auto"/>
              <w:bottom w:val="single" w:sz="4" w:space="0" w:color="auto"/>
              <w:right w:val="single" w:sz="4" w:space="0" w:color="auto"/>
            </w:tcBorders>
            <w:vAlign w:val="center"/>
            <w:hideMark/>
          </w:tcPr>
          <w:p w14:paraId="1AC64FED"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44F4F3B7"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f2) – dividends to other shareholders </w:t>
            </w:r>
          </w:p>
        </w:tc>
        <w:tc>
          <w:tcPr>
            <w:tcW w:w="2200" w:type="dxa"/>
            <w:tcBorders>
              <w:top w:val="single" w:sz="4" w:space="0" w:color="auto"/>
              <w:left w:val="nil"/>
              <w:bottom w:val="single" w:sz="4" w:space="0" w:color="auto"/>
              <w:right w:val="single" w:sz="4" w:space="0" w:color="auto"/>
            </w:tcBorders>
            <w:vAlign w:val="center"/>
            <w:hideMark/>
          </w:tcPr>
          <w:p w14:paraId="04368B4D"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175,132,969.80</w:t>
            </w:r>
          </w:p>
        </w:tc>
      </w:tr>
      <w:tr w:rsidR="004C0B61" w:rsidRPr="004C0B61" w14:paraId="1097F373" w14:textId="77777777" w:rsidTr="001A744F">
        <w:trPr>
          <w:trHeight w:val="372"/>
        </w:trPr>
        <w:tc>
          <w:tcPr>
            <w:tcW w:w="800" w:type="dxa"/>
            <w:tcBorders>
              <w:top w:val="nil"/>
              <w:left w:val="single" w:sz="8" w:space="0" w:color="auto"/>
              <w:bottom w:val="single" w:sz="4" w:space="0" w:color="auto"/>
              <w:right w:val="single" w:sz="4" w:space="0" w:color="auto"/>
            </w:tcBorders>
            <w:vAlign w:val="center"/>
            <w:hideMark/>
          </w:tcPr>
          <w:p w14:paraId="53BFE135"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032F98BB"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 xml:space="preserve">                    - dividend/share (RON/share)</w:t>
            </w:r>
          </w:p>
        </w:tc>
        <w:tc>
          <w:tcPr>
            <w:tcW w:w="2200" w:type="dxa"/>
            <w:tcBorders>
              <w:top w:val="single" w:sz="4" w:space="0" w:color="auto"/>
              <w:left w:val="nil"/>
              <w:bottom w:val="single" w:sz="4" w:space="0" w:color="auto"/>
              <w:right w:val="single" w:sz="4" w:space="0" w:color="auto"/>
            </w:tcBorders>
            <w:vAlign w:val="center"/>
            <w:hideMark/>
          </w:tcPr>
          <w:p w14:paraId="5402F5AE"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0.1515</w:t>
            </w:r>
          </w:p>
        </w:tc>
      </w:tr>
      <w:tr w:rsidR="004C0B61" w:rsidRPr="004C0B61" w14:paraId="1F05A335" w14:textId="77777777" w:rsidTr="001A744F">
        <w:trPr>
          <w:trHeight w:val="372"/>
        </w:trPr>
        <w:tc>
          <w:tcPr>
            <w:tcW w:w="800" w:type="dxa"/>
            <w:tcBorders>
              <w:top w:val="nil"/>
              <w:left w:val="single" w:sz="8" w:space="0" w:color="auto"/>
              <w:bottom w:val="single" w:sz="4" w:space="0" w:color="auto"/>
              <w:right w:val="single" w:sz="4" w:space="0" w:color="auto"/>
            </w:tcBorders>
            <w:vAlign w:val="center"/>
            <w:hideMark/>
          </w:tcPr>
          <w:p w14:paraId="30634816"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g</w:t>
            </w:r>
          </w:p>
        </w:tc>
        <w:tc>
          <w:tcPr>
            <w:tcW w:w="6705" w:type="dxa"/>
            <w:tcBorders>
              <w:top w:val="nil"/>
              <w:left w:val="nil"/>
              <w:bottom w:val="single" w:sz="4" w:space="0" w:color="auto"/>
              <w:right w:val="single" w:sz="4" w:space="0" w:color="auto"/>
            </w:tcBorders>
            <w:vAlign w:val="center"/>
            <w:hideMark/>
          </w:tcPr>
          <w:p w14:paraId="6BD14E81"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color w:val="000000"/>
                <w:position w:val="8"/>
                <w:sz w:val="22"/>
                <w:szCs w:val="22"/>
                <w:lang w:val="en-GB"/>
              </w:rPr>
              <w:t>Profit for setting up</w:t>
            </w:r>
            <w:r w:rsidRPr="004C0B61">
              <w:rPr>
                <w:rFonts w:ascii="Trebuchet MS" w:eastAsia="Calibri" w:hAnsi="Trebuchet MS" w:cs="Arial"/>
                <w:b/>
                <w:position w:val="8"/>
                <w:sz w:val="22"/>
                <w:szCs w:val="22"/>
                <w:lang w:val="en-GB"/>
              </w:rPr>
              <w:t xml:space="preserve"> reserves for financing major investment projects or for investments of national interest or for financing subsidiaries making such investments (90%-20%), </w:t>
            </w:r>
            <w:r w:rsidRPr="004C0B61">
              <w:rPr>
                <w:rFonts w:ascii="Trebuchet MS" w:eastAsia="Calibri" w:hAnsi="Trebuchet MS"/>
                <w:position w:val="8"/>
                <w:lang w:val="en-GB"/>
              </w:rPr>
              <w:t xml:space="preserve">according to Art. </w:t>
            </w:r>
            <w:r w:rsidRPr="004C0B61">
              <w:rPr>
                <w:rFonts w:ascii="Trebuchet MS" w:eastAsia="Calibri" w:hAnsi="Trebuchet MS"/>
                <w:b/>
                <w:bCs/>
                <w:position w:val="8"/>
                <w:lang w:val="en-GB"/>
              </w:rPr>
              <w:t>2^4 of G.O. 64/2001</w:t>
            </w:r>
          </w:p>
        </w:tc>
        <w:tc>
          <w:tcPr>
            <w:tcW w:w="2200" w:type="dxa"/>
            <w:tcBorders>
              <w:top w:val="single" w:sz="4" w:space="0" w:color="auto"/>
              <w:left w:val="nil"/>
              <w:bottom w:val="single" w:sz="4" w:space="0" w:color="auto"/>
              <w:right w:val="single" w:sz="4" w:space="0" w:color="auto"/>
            </w:tcBorders>
            <w:vAlign w:val="center"/>
            <w:hideMark/>
          </w:tcPr>
          <w:p w14:paraId="57BD94E3"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color w:val="000000"/>
                <w:position w:val="8"/>
                <w:sz w:val="22"/>
                <w:szCs w:val="22"/>
                <w:lang w:val="en-GB"/>
              </w:rPr>
              <w:t>875,679,692.80</w:t>
            </w:r>
          </w:p>
        </w:tc>
      </w:tr>
      <w:tr w:rsidR="004C0B61" w:rsidRPr="004C0B61" w14:paraId="48854ACE" w14:textId="77777777" w:rsidTr="001A744F">
        <w:trPr>
          <w:trHeight w:val="419"/>
        </w:trPr>
        <w:tc>
          <w:tcPr>
            <w:tcW w:w="800" w:type="dxa"/>
            <w:tcBorders>
              <w:top w:val="nil"/>
              <w:left w:val="single" w:sz="8" w:space="0" w:color="auto"/>
              <w:bottom w:val="single" w:sz="4" w:space="0" w:color="auto"/>
              <w:right w:val="single" w:sz="4" w:space="0" w:color="auto"/>
            </w:tcBorders>
            <w:vAlign w:val="center"/>
            <w:hideMark/>
          </w:tcPr>
          <w:p w14:paraId="3652DA75"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h</w:t>
            </w:r>
          </w:p>
        </w:tc>
        <w:tc>
          <w:tcPr>
            <w:tcW w:w="6705" w:type="dxa"/>
            <w:tcBorders>
              <w:top w:val="nil"/>
              <w:left w:val="nil"/>
              <w:bottom w:val="single" w:sz="4" w:space="0" w:color="auto"/>
              <w:right w:val="single" w:sz="4" w:space="0" w:color="auto"/>
            </w:tcBorders>
            <w:vAlign w:val="center"/>
            <w:hideMark/>
          </w:tcPr>
          <w:p w14:paraId="239388CE"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Profit for own financing sources [E-f-g]</w:t>
            </w:r>
          </w:p>
        </w:tc>
        <w:tc>
          <w:tcPr>
            <w:tcW w:w="2200" w:type="dxa"/>
            <w:tcBorders>
              <w:top w:val="single" w:sz="4" w:space="0" w:color="auto"/>
              <w:left w:val="nil"/>
              <w:bottom w:val="single" w:sz="4" w:space="0" w:color="auto"/>
              <w:right w:val="single" w:sz="4" w:space="0" w:color="auto"/>
            </w:tcBorders>
            <w:vAlign w:val="center"/>
            <w:hideMark/>
          </w:tcPr>
          <w:p w14:paraId="6DF4198E"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1,412,492,525.35</w:t>
            </w:r>
          </w:p>
        </w:tc>
      </w:tr>
      <w:tr w:rsidR="004C0B61" w:rsidRPr="004C0B61" w14:paraId="384CBD42" w14:textId="77777777" w:rsidTr="001A744F">
        <w:trPr>
          <w:trHeight w:val="372"/>
        </w:trPr>
        <w:tc>
          <w:tcPr>
            <w:tcW w:w="800" w:type="dxa"/>
            <w:tcBorders>
              <w:top w:val="nil"/>
              <w:left w:val="single" w:sz="8" w:space="0" w:color="auto"/>
              <w:bottom w:val="single" w:sz="8" w:space="0" w:color="auto"/>
              <w:right w:val="single" w:sz="4" w:space="0" w:color="auto"/>
            </w:tcBorders>
            <w:vAlign w:val="center"/>
            <w:hideMark/>
          </w:tcPr>
          <w:p w14:paraId="3C93A22B" w14:textId="77777777" w:rsidR="004C0B61" w:rsidRPr="004C0B61" w:rsidRDefault="004C0B61" w:rsidP="004C0B61">
            <w:pPr>
              <w:tabs>
                <w:tab w:val="left" w:pos="720"/>
              </w:tabs>
              <w:suppressAutoHyphens w:val="0"/>
              <w:jc w:val="center"/>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w:t>
            </w:r>
          </w:p>
        </w:tc>
        <w:tc>
          <w:tcPr>
            <w:tcW w:w="6705" w:type="dxa"/>
            <w:tcBorders>
              <w:top w:val="nil"/>
              <w:left w:val="nil"/>
              <w:bottom w:val="single" w:sz="8" w:space="0" w:color="auto"/>
              <w:right w:val="single" w:sz="4" w:space="0" w:color="auto"/>
            </w:tcBorders>
            <w:vAlign w:val="center"/>
            <w:hideMark/>
          </w:tcPr>
          <w:p w14:paraId="06C12397" w14:textId="77777777" w:rsidR="004C0B61" w:rsidRPr="004C0B61" w:rsidRDefault="004C0B61" w:rsidP="004C0B61">
            <w:pPr>
              <w:tabs>
                <w:tab w:val="left" w:pos="720"/>
              </w:tabs>
              <w:suppressAutoHyphens w:val="0"/>
              <w:jc w:val="both"/>
              <w:rPr>
                <w:rFonts w:ascii="Trebuchet MS" w:eastAsia="Calibri" w:hAnsi="Trebuchet MS" w:cs="Arial"/>
                <w:b/>
                <w:bCs/>
                <w:position w:val="8"/>
                <w:sz w:val="22"/>
                <w:szCs w:val="22"/>
                <w:lang w:val="en-GB"/>
              </w:rPr>
            </w:pPr>
            <w:r w:rsidRPr="004C0B61">
              <w:rPr>
                <w:rFonts w:ascii="Trebuchet MS" w:eastAsia="Calibri" w:hAnsi="Trebuchet MS" w:cs="Arial"/>
                <w:b/>
                <w:bCs/>
                <w:position w:val="8"/>
                <w:sz w:val="22"/>
                <w:szCs w:val="22"/>
                <w:lang w:val="en-GB"/>
              </w:rPr>
              <w:t>TOTAL DISTRIBUTIONS [a+b+c+c1+d+f+g+h]</w:t>
            </w:r>
          </w:p>
        </w:tc>
        <w:tc>
          <w:tcPr>
            <w:tcW w:w="2200" w:type="dxa"/>
            <w:tcBorders>
              <w:top w:val="single" w:sz="4" w:space="0" w:color="auto"/>
              <w:left w:val="nil"/>
              <w:bottom w:val="single" w:sz="4" w:space="0" w:color="auto"/>
              <w:right w:val="single" w:sz="4" w:space="0" w:color="auto"/>
            </w:tcBorders>
            <w:vAlign w:val="center"/>
            <w:hideMark/>
          </w:tcPr>
          <w:p w14:paraId="3A7F14C6" w14:textId="77777777" w:rsidR="004C0B61" w:rsidRPr="004C0B61" w:rsidRDefault="004C0B61" w:rsidP="004C0B61">
            <w:pPr>
              <w:tabs>
                <w:tab w:val="left" w:pos="720"/>
              </w:tabs>
              <w:suppressAutoHyphens w:val="0"/>
              <w:jc w:val="right"/>
              <w:rPr>
                <w:rFonts w:ascii="Trebuchet MS" w:eastAsia="Calibri" w:hAnsi="Trebuchet MS" w:cs="Arial"/>
                <w:b/>
                <w:bCs/>
                <w:position w:val="8"/>
                <w:sz w:val="22"/>
                <w:szCs w:val="22"/>
                <w:lang w:val="en-GB"/>
              </w:rPr>
            </w:pPr>
            <w:r w:rsidRPr="004C0B61">
              <w:rPr>
                <w:rFonts w:ascii="Trebuchet MS" w:eastAsia="Calibri" w:hAnsi="Trebuchet MS" w:cs="Calibri"/>
                <w:b/>
                <w:bCs/>
                <w:color w:val="000000"/>
                <w:position w:val="8"/>
                <w:sz w:val="22"/>
                <w:szCs w:val="22"/>
                <w:lang w:val="en-GB"/>
              </w:rPr>
              <w:t>3,090,696,859.61</w:t>
            </w:r>
          </w:p>
        </w:tc>
      </w:tr>
    </w:tbl>
    <w:p w14:paraId="730551D5" w14:textId="77777777" w:rsidR="004C0B61" w:rsidRPr="004C0B61" w:rsidRDefault="004C0B61" w:rsidP="004C0B61">
      <w:pPr>
        <w:ind w:right="9"/>
        <w:jc w:val="both"/>
        <w:rPr>
          <w:rFonts w:ascii="Trebuchet MS" w:hAnsi="Trebuchet MS" w:cs="Arial"/>
          <w:b/>
          <w:sz w:val="22"/>
          <w:szCs w:val="22"/>
          <w:lang w:val="en-GB"/>
        </w:rPr>
      </w:pPr>
    </w:p>
    <w:p w14:paraId="2E2155CF"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4FE5C2BC" w14:textId="77777777" w:rsidR="004C0B61" w:rsidRPr="004C0B61" w:rsidRDefault="004C0B61" w:rsidP="004C0B61">
      <w:pPr>
        <w:spacing w:before="240"/>
        <w:jc w:val="both"/>
        <w:rPr>
          <w:rFonts w:ascii="Trebuchet MS" w:eastAsia="Times New Roman" w:hAnsi="Trebuchet MS" w:cs="Arial"/>
          <w:iCs/>
          <w:noProof/>
          <w:sz w:val="22"/>
          <w:szCs w:val="22"/>
          <w:lang w:val="en-GB" w:eastAsia="ro-RO"/>
        </w:rPr>
      </w:pPr>
    </w:p>
    <w:p w14:paraId="3C6C8CA6"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7 on the agenda: </w:t>
      </w:r>
    </w:p>
    <w:p w14:paraId="2B5C9ACA"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Approves the gross dividend of RON </w:t>
      </w:r>
      <w:bookmarkStart w:id="2" w:name="_Hlk194008610"/>
      <w:r w:rsidRPr="004C0B61">
        <w:rPr>
          <w:rFonts w:ascii="Trebuchet MS" w:eastAsia="Times New Roman" w:hAnsi="Trebuchet MS"/>
          <w:b/>
          <w:sz w:val="22"/>
          <w:szCs w:val="22"/>
          <w:lang w:val="en-US"/>
        </w:rPr>
        <w:t>0.1515</w:t>
      </w:r>
      <w:bookmarkEnd w:id="2"/>
      <w:r w:rsidRPr="004C0B61">
        <w:rPr>
          <w:rFonts w:ascii="Trebuchet MS" w:eastAsia="Times New Roman" w:hAnsi="Trebuchet MS"/>
          <w:b/>
          <w:sz w:val="22"/>
          <w:szCs w:val="22"/>
          <w:lang w:val="en-US"/>
        </w:rPr>
        <w:t xml:space="preserve"> per share, distributed from the net profit achieved in 2024”.</w:t>
      </w:r>
    </w:p>
    <w:p w14:paraId="1AAB1319" w14:textId="77777777" w:rsidR="004C0B61" w:rsidRPr="004C0B61" w:rsidRDefault="004C0B61" w:rsidP="004C0B61">
      <w:pPr>
        <w:jc w:val="both"/>
        <w:rPr>
          <w:rFonts w:ascii="Trebuchet MS" w:hAnsi="Trebuchet MS" w:cs="Arial"/>
          <w:b/>
          <w:noProof/>
          <w:sz w:val="22"/>
          <w:szCs w:val="22"/>
          <w:lang w:val="en-GB"/>
        </w:rPr>
      </w:pPr>
    </w:p>
    <w:p w14:paraId="30086626"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4D437EE5"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3167EEC9"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7B405574"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8 on the agenda: </w:t>
      </w:r>
    </w:p>
    <w:p w14:paraId="6E1B4B6F" w14:textId="7BC4DF4E" w:rsidR="004C0B61" w:rsidRPr="004C0B61" w:rsidRDefault="004C0B61" w:rsidP="004C0B61">
      <w:pPr>
        <w:spacing w:after="120"/>
        <w:jc w:val="both"/>
        <w:rPr>
          <w:rFonts w:ascii="Trebuchet MS" w:hAnsi="Trebuchet MS" w:cs="Arial"/>
          <w:b/>
          <w:noProof/>
          <w:sz w:val="22"/>
          <w:szCs w:val="22"/>
          <w:lang w:val="en-GB"/>
        </w:rPr>
      </w:pPr>
      <w:r w:rsidRPr="004C0B61">
        <w:rPr>
          <w:rFonts w:ascii="Trebuchet MS" w:hAnsi="Trebuchet MS" w:cs="Arial"/>
          <w:b/>
          <w:noProof/>
          <w:sz w:val="22"/>
          <w:szCs w:val="22"/>
          <w:lang w:val="en-US"/>
        </w:rPr>
        <w:t>„Approves the</w:t>
      </w:r>
      <w:r w:rsidRPr="004C0B61">
        <w:rPr>
          <w:rFonts w:eastAsia="Times New Roman"/>
          <w:lang w:val="en-US"/>
        </w:rPr>
        <w:t xml:space="preserve"> </w:t>
      </w:r>
      <w:r w:rsidRPr="004C0B61">
        <w:rPr>
          <w:rFonts w:ascii="Trebuchet MS" w:hAnsi="Trebuchet MS" w:cs="Arial"/>
          <w:b/>
          <w:noProof/>
          <w:sz w:val="22"/>
          <w:szCs w:val="22"/>
          <w:lang w:val="en-GB"/>
        </w:rPr>
        <w:t>distribution of retained earnings of RON 104,495,678.6, representing retained earnings from correction of accounting errors and the value of fixed assets depreciation and the value of fixed assets and of investment projects abandoned in the reporting year financed from “expenditure quota required for development and modernisation of natural gas production” in line with Government Ordinance No. 168/1998, as subsequently amended and supplemented, as follows:</w:t>
      </w:r>
    </w:p>
    <w:p w14:paraId="2829CAC0" w14:textId="77777777" w:rsidR="004C0B61" w:rsidRPr="004C0B61" w:rsidRDefault="004C0B61" w:rsidP="004C0B61">
      <w:pPr>
        <w:numPr>
          <w:ilvl w:val="0"/>
          <w:numId w:val="10"/>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20,427,387.2 as dividends, representing approximately 20.33% of the total value, dividend per share of RON 0.0053;</w:t>
      </w:r>
    </w:p>
    <w:p w14:paraId="6653F11A" w14:textId="77777777" w:rsidR="004C0B61" w:rsidRPr="004C0B61" w:rsidRDefault="004C0B61" w:rsidP="004C0B61">
      <w:pPr>
        <w:numPr>
          <w:ilvl w:val="0"/>
          <w:numId w:val="10"/>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50,005,344.2 for own financing sources;</w:t>
      </w:r>
    </w:p>
    <w:p w14:paraId="3D556BFB" w14:textId="77777777" w:rsidR="004C0B61" w:rsidRPr="004C0B61" w:rsidRDefault="004C0B61" w:rsidP="004C0B61">
      <w:pPr>
        <w:numPr>
          <w:ilvl w:val="0"/>
          <w:numId w:val="10"/>
        </w:numPr>
        <w:spacing w:after="120"/>
        <w:contextualSpacing/>
        <w:jc w:val="both"/>
        <w:rPr>
          <w:rFonts w:ascii="Trebuchet MS" w:hAnsi="Trebuchet MS" w:cs="Arial"/>
          <w:b/>
          <w:noProof/>
          <w:sz w:val="22"/>
          <w:szCs w:val="22"/>
          <w:lang w:val="en-GB"/>
        </w:rPr>
      </w:pPr>
      <w:r w:rsidRPr="004C0B61">
        <w:rPr>
          <w:rFonts w:ascii="Trebuchet MS" w:hAnsi="Trebuchet MS" w:cs="Arial"/>
          <w:b/>
          <w:noProof/>
          <w:sz w:val="22"/>
          <w:szCs w:val="22"/>
          <w:lang w:val="en-GB"/>
        </w:rPr>
        <w:t>RON 30,062,947.2 for setting up reserves for financing major investment projects or projects of national interest or for financing subsidiaries that make such investments</w:t>
      </w:r>
      <w:r w:rsidRPr="004C0B61">
        <w:rPr>
          <w:rFonts w:ascii="Trebuchet MS" w:hAnsi="Trebuchet MS" w:cs="Arial"/>
          <w:b/>
          <w:noProof/>
          <w:sz w:val="22"/>
          <w:szCs w:val="22"/>
          <w:lang w:val="en-US"/>
        </w:rPr>
        <w:t>”.</w:t>
      </w:r>
    </w:p>
    <w:p w14:paraId="111C477D"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4EF4EF2" w14:textId="77777777" w:rsidR="004C0B61" w:rsidRPr="004C0B61" w:rsidRDefault="004C0B61" w:rsidP="004C0B61">
      <w:pPr>
        <w:shd w:val="clear" w:color="auto" w:fill="FFFFFF"/>
        <w:jc w:val="both"/>
        <w:rPr>
          <w:rFonts w:ascii="Trebuchet MS" w:hAnsi="Trebuchet MS" w:cs="Arial"/>
          <w:noProof/>
          <w:sz w:val="22"/>
          <w:szCs w:val="22"/>
          <w:lang w:val="en-GB"/>
        </w:rPr>
      </w:pPr>
    </w:p>
    <w:p w14:paraId="3EC7C145" w14:textId="77777777" w:rsidR="004C0B61" w:rsidRDefault="004C0B61" w:rsidP="004C0B61">
      <w:pPr>
        <w:shd w:val="clear" w:color="auto" w:fill="FFFFFF"/>
        <w:jc w:val="both"/>
        <w:rPr>
          <w:rFonts w:ascii="Trebuchet MS" w:hAnsi="Trebuchet MS" w:cs="Arial"/>
          <w:noProof/>
          <w:sz w:val="22"/>
          <w:szCs w:val="22"/>
          <w:lang w:val="en-GB"/>
        </w:rPr>
      </w:pPr>
    </w:p>
    <w:p w14:paraId="65A154EA" w14:textId="77777777" w:rsidR="004C0B61" w:rsidRDefault="004C0B61" w:rsidP="004C0B61">
      <w:pPr>
        <w:shd w:val="clear" w:color="auto" w:fill="FFFFFF"/>
        <w:jc w:val="both"/>
        <w:rPr>
          <w:rFonts w:ascii="Trebuchet MS" w:hAnsi="Trebuchet MS" w:cs="Arial"/>
          <w:noProof/>
          <w:sz w:val="22"/>
          <w:szCs w:val="22"/>
          <w:lang w:val="en-GB"/>
        </w:rPr>
      </w:pPr>
    </w:p>
    <w:p w14:paraId="30588EF2" w14:textId="77777777" w:rsidR="004C0B61" w:rsidRDefault="004C0B61" w:rsidP="004C0B61">
      <w:pPr>
        <w:shd w:val="clear" w:color="auto" w:fill="FFFFFF"/>
        <w:jc w:val="both"/>
        <w:rPr>
          <w:rFonts w:ascii="Trebuchet MS" w:hAnsi="Trebuchet MS" w:cs="Arial"/>
          <w:noProof/>
          <w:sz w:val="22"/>
          <w:szCs w:val="22"/>
          <w:lang w:val="en-GB"/>
        </w:rPr>
      </w:pPr>
    </w:p>
    <w:p w14:paraId="7E0CD261" w14:textId="79439282"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lastRenderedPageBreak/>
        <w:t xml:space="preserve">The draft resolution for item 9 on the agenda: </w:t>
      </w:r>
    </w:p>
    <w:p w14:paraId="4CEFBE29" w14:textId="104E459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Approves the gross dividend of RON 0.0053 per share, distributed from retained earnings</w:t>
      </w:r>
      <w:r w:rsidRPr="004C0B61">
        <w:rPr>
          <w:rFonts w:ascii="Trebuchet MS" w:hAnsi="Trebuchet MS" w:cs="Arial"/>
          <w:b/>
          <w:noProof/>
          <w:sz w:val="22"/>
          <w:szCs w:val="22"/>
          <w:lang w:val="en-GB"/>
        </w:rPr>
        <w:t>”.</w:t>
      </w:r>
    </w:p>
    <w:p w14:paraId="245F0C87" w14:textId="77777777" w:rsidR="004C0B61" w:rsidRPr="004C0B61" w:rsidRDefault="004C0B61" w:rsidP="004C0B61">
      <w:pPr>
        <w:ind w:right="9"/>
        <w:jc w:val="both"/>
        <w:rPr>
          <w:rFonts w:ascii="Trebuchet MS" w:hAnsi="Trebuchet MS" w:cs="Arial"/>
          <w:b/>
          <w:sz w:val="22"/>
          <w:szCs w:val="22"/>
          <w:lang w:val="en-GB"/>
        </w:rPr>
      </w:pPr>
    </w:p>
    <w:p w14:paraId="6D706484"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BCD151E" w14:textId="77777777" w:rsidR="004C0B61" w:rsidRPr="004C0B61" w:rsidRDefault="004C0B61" w:rsidP="004C0B61">
      <w:pPr>
        <w:spacing w:before="240"/>
        <w:jc w:val="both"/>
        <w:rPr>
          <w:rFonts w:ascii="Trebuchet MS" w:eastAsia="Times New Roman" w:hAnsi="Trebuchet MS" w:cs="Arial"/>
          <w:iCs/>
          <w:noProof/>
          <w:sz w:val="22"/>
          <w:szCs w:val="22"/>
          <w:lang w:val="en-GB" w:eastAsia="ro-RO"/>
        </w:rPr>
      </w:pPr>
    </w:p>
    <w:p w14:paraId="55AFC86F"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10 on the agenda: </w:t>
      </w:r>
    </w:p>
    <w:p w14:paraId="53A92E6D"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Approves the total gross dividend per share in amount of RON 0.1568, out of which RON 0.1515 per share related to the 2024 result and RON 0.0053 per share related to retained earnings”.</w:t>
      </w:r>
    </w:p>
    <w:p w14:paraId="1C66FF37" w14:textId="77777777" w:rsidR="004C0B61" w:rsidRPr="004C0B61" w:rsidRDefault="004C0B61" w:rsidP="004C0B61">
      <w:pPr>
        <w:jc w:val="both"/>
        <w:rPr>
          <w:rFonts w:ascii="Trebuchet MS" w:hAnsi="Trebuchet MS" w:cs="Arial"/>
          <w:b/>
          <w:noProof/>
          <w:sz w:val="22"/>
          <w:szCs w:val="22"/>
          <w:lang w:val="en-GB"/>
        </w:rPr>
      </w:pPr>
    </w:p>
    <w:p w14:paraId="36599EDF"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730AC34"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114AFC8B"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04C71613" w14:textId="77777777" w:rsidR="004C0B61" w:rsidRPr="004C0B61" w:rsidRDefault="004C0B61" w:rsidP="00895588">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11 on the agenda: </w:t>
      </w:r>
    </w:p>
    <w:p w14:paraId="64A68581" w14:textId="77777777" w:rsidR="004C0B61" w:rsidRPr="004C0B61" w:rsidRDefault="004C0B61" w:rsidP="00895588">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bookmarkStart w:id="3" w:name="_Hlk194011385"/>
      <w:r w:rsidRPr="004C0B61">
        <w:rPr>
          <w:rFonts w:ascii="Trebuchet MS" w:hAnsi="Trebuchet MS" w:cs="Arial"/>
          <w:b/>
          <w:noProof/>
          <w:sz w:val="22"/>
          <w:szCs w:val="22"/>
          <w:lang w:val="en-GB"/>
        </w:rPr>
        <w:t>Establishes</w:t>
      </w:r>
      <w:bookmarkEnd w:id="3"/>
      <w:r w:rsidRPr="004C0B61">
        <w:rPr>
          <w:rFonts w:ascii="Trebuchet MS" w:hAnsi="Trebuchet MS" w:cs="Arial"/>
          <w:b/>
          <w:noProof/>
          <w:sz w:val="22"/>
          <w:szCs w:val="22"/>
          <w:lang w:val="en-GB"/>
        </w:rPr>
        <w:t xml:space="preserve"> July 25, 2025 as Payment Day, for payment of dividends due to shareholders</w:t>
      </w:r>
      <w:r w:rsidRPr="004C0B61">
        <w:rPr>
          <w:rFonts w:ascii="Trebuchet MS" w:hAnsi="Trebuchet MS" w:cs="Arial"/>
          <w:b/>
          <w:noProof/>
          <w:sz w:val="22"/>
          <w:szCs w:val="22"/>
          <w:lang w:val="en-US"/>
        </w:rPr>
        <w:t>”.</w:t>
      </w:r>
    </w:p>
    <w:p w14:paraId="635CA551" w14:textId="77777777" w:rsidR="004C0B61" w:rsidRPr="004C0B61" w:rsidRDefault="004C0B61" w:rsidP="004C0B61">
      <w:pPr>
        <w:jc w:val="both"/>
        <w:rPr>
          <w:rFonts w:ascii="Trebuchet MS" w:hAnsi="Trebuchet MS" w:cs="Arial"/>
          <w:b/>
          <w:noProof/>
          <w:sz w:val="22"/>
          <w:szCs w:val="22"/>
          <w:lang w:val="en-GB"/>
        </w:rPr>
      </w:pPr>
    </w:p>
    <w:p w14:paraId="743EED23"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D1C5A51" w14:textId="77777777" w:rsidR="004C0B61" w:rsidRPr="004C0B61" w:rsidRDefault="004C0B61" w:rsidP="004C0B61">
      <w:pPr>
        <w:shd w:val="clear" w:color="auto" w:fill="FFFFFF"/>
        <w:jc w:val="both"/>
        <w:rPr>
          <w:rFonts w:ascii="Trebuchet MS" w:hAnsi="Trebuchet MS" w:cs="Arial"/>
          <w:noProof/>
          <w:sz w:val="22"/>
          <w:szCs w:val="22"/>
          <w:lang w:val="en-GB"/>
        </w:rPr>
      </w:pPr>
    </w:p>
    <w:p w14:paraId="33C19FFB" w14:textId="77777777" w:rsidR="004C0B61" w:rsidRPr="004C0B61" w:rsidRDefault="004C0B61" w:rsidP="004C0B61">
      <w:pPr>
        <w:shd w:val="clear" w:color="auto" w:fill="FFFFFF"/>
        <w:jc w:val="both"/>
        <w:rPr>
          <w:rFonts w:ascii="Trebuchet MS" w:hAnsi="Trebuchet MS" w:cs="Arial"/>
          <w:noProof/>
          <w:sz w:val="22"/>
          <w:szCs w:val="22"/>
          <w:lang w:val="en-GB"/>
        </w:rPr>
      </w:pPr>
    </w:p>
    <w:p w14:paraId="26232FC2"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12 on the agenda: </w:t>
      </w:r>
    </w:p>
    <w:p w14:paraId="2EEBFB92" w14:textId="77777777" w:rsidR="004C0B61" w:rsidRPr="004C0B61" w:rsidRDefault="004C0B61" w:rsidP="004C0B61">
      <w:pPr>
        <w:jc w:val="both"/>
        <w:rPr>
          <w:rFonts w:ascii="Trebuchet MS" w:hAnsi="Trebuchet MS" w:cs="Arial"/>
          <w:b/>
          <w:iCs/>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Approves the employees’ participation in profit, in accordance with the provisions of Government Ordinance no. 64/2001, in amount of RON 46,938,504</w:t>
      </w:r>
      <w:r w:rsidRPr="004C0B61">
        <w:rPr>
          <w:rFonts w:ascii="Trebuchet MS" w:hAnsi="Trebuchet MS" w:cs="Arial"/>
          <w:b/>
          <w:noProof/>
          <w:sz w:val="22"/>
          <w:szCs w:val="22"/>
          <w:lang w:val="en-GB"/>
        </w:rPr>
        <w:t>”.</w:t>
      </w:r>
    </w:p>
    <w:p w14:paraId="2E1EDE91" w14:textId="77777777" w:rsidR="004C0B61" w:rsidRPr="004C0B61" w:rsidRDefault="004C0B61" w:rsidP="004C0B61">
      <w:pPr>
        <w:ind w:right="9"/>
        <w:jc w:val="both"/>
        <w:rPr>
          <w:rFonts w:ascii="Trebuchet MS" w:hAnsi="Trebuchet MS" w:cs="Arial"/>
          <w:b/>
          <w:sz w:val="22"/>
          <w:szCs w:val="22"/>
          <w:lang w:val="en-GB"/>
        </w:rPr>
      </w:pPr>
    </w:p>
    <w:p w14:paraId="714D21F0"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4A64162B" w14:textId="77777777" w:rsidR="004C0B61" w:rsidRDefault="004C0B61" w:rsidP="004C0B61">
      <w:pPr>
        <w:shd w:val="clear" w:color="auto" w:fill="FFFFFF"/>
        <w:jc w:val="both"/>
        <w:rPr>
          <w:rFonts w:ascii="Trebuchet MS" w:hAnsi="Trebuchet MS" w:cs="Arial"/>
          <w:noProof/>
          <w:sz w:val="22"/>
          <w:szCs w:val="22"/>
          <w:lang w:val="en-GB"/>
        </w:rPr>
      </w:pPr>
    </w:p>
    <w:p w14:paraId="02DCDF26" w14:textId="77777777" w:rsidR="004C0B61" w:rsidRDefault="004C0B61" w:rsidP="004C0B61">
      <w:pPr>
        <w:shd w:val="clear" w:color="auto" w:fill="FFFFFF"/>
        <w:jc w:val="both"/>
        <w:rPr>
          <w:rFonts w:ascii="Trebuchet MS" w:hAnsi="Trebuchet MS" w:cs="Arial"/>
          <w:noProof/>
          <w:sz w:val="22"/>
          <w:szCs w:val="22"/>
          <w:lang w:val="en-GB"/>
        </w:rPr>
      </w:pPr>
    </w:p>
    <w:p w14:paraId="371BD60B" w14:textId="7CB33A9F"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13 on the agenda: </w:t>
      </w:r>
    </w:p>
    <w:p w14:paraId="41EF4687"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Takes note of the 2024 Annual Financial Report on the remuneration, benefits and/or other advantages granted to the Members of the Board and Officers of S.N.G.N. ROMGAZ S.A.</w:t>
      </w:r>
      <w:r w:rsidRPr="004C0B61">
        <w:rPr>
          <w:rFonts w:ascii="Trebuchet MS" w:eastAsia="Times New Roman" w:hAnsi="Trebuchet MS"/>
          <w:b/>
          <w:sz w:val="22"/>
          <w:szCs w:val="22"/>
          <w:lang w:val="en-US"/>
        </w:rPr>
        <w:t>”.</w:t>
      </w:r>
    </w:p>
    <w:p w14:paraId="13717D6A" w14:textId="77777777" w:rsidR="004C0B61" w:rsidRPr="004C0B61" w:rsidRDefault="004C0B61" w:rsidP="004C0B61">
      <w:pPr>
        <w:jc w:val="both"/>
        <w:rPr>
          <w:rFonts w:ascii="Trebuchet MS" w:hAnsi="Trebuchet MS" w:cs="Arial"/>
          <w:b/>
          <w:noProof/>
          <w:sz w:val="22"/>
          <w:szCs w:val="22"/>
          <w:lang w:val="en-GB"/>
        </w:rPr>
      </w:pPr>
    </w:p>
    <w:p w14:paraId="03E51338"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61EF84E"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6D287B36"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450BAD45"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14 on the agenda: </w:t>
      </w:r>
    </w:p>
    <w:p w14:paraId="6C030435"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Approves the budgetary discharge of the Board members for the financial year 2024</w:t>
      </w:r>
      <w:r w:rsidRPr="004C0B61">
        <w:rPr>
          <w:rFonts w:ascii="Trebuchet MS" w:hAnsi="Trebuchet MS" w:cs="Arial"/>
          <w:b/>
          <w:noProof/>
          <w:sz w:val="22"/>
          <w:szCs w:val="22"/>
          <w:lang w:val="en-US"/>
        </w:rPr>
        <w:t>”.</w:t>
      </w:r>
    </w:p>
    <w:p w14:paraId="4AC564C8" w14:textId="77777777" w:rsidR="004C0B61" w:rsidRPr="004C0B61" w:rsidRDefault="004C0B61" w:rsidP="004C0B61">
      <w:pPr>
        <w:jc w:val="both"/>
        <w:rPr>
          <w:rFonts w:ascii="Trebuchet MS" w:hAnsi="Trebuchet MS" w:cs="Arial"/>
          <w:b/>
          <w:noProof/>
          <w:sz w:val="22"/>
          <w:szCs w:val="22"/>
          <w:lang w:val="en-GB"/>
        </w:rPr>
      </w:pPr>
    </w:p>
    <w:p w14:paraId="11B82C7E"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618F9D76" w14:textId="77777777" w:rsidR="004C0B61" w:rsidRPr="004C0B61" w:rsidRDefault="004C0B61" w:rsidP="004C0B61">
      <w:pPr>
        <w:shd w:val="clear" w:color="auto" w:fill="FFFFFF"/>
        <w:jc w:val="both"/>
        <w:rPr>
          <w:rFonts w:ascii="Trebuchet MS" w:hAnsi="Trebuchet MS" w:cs="Arial"/>
          <w:noProof/>
          <w:sz w:val="22"/>
          <w:szCs w:val="22"/>
          <w:lang w:val="en-GB"/>
        </w:rPr>
      </w:pPr>
    </w:p>
    <w:p w14:paraId="5D98A0D7" w14:textId="77777777" w:rsidR="004C0B61" w:rsidRPr="004C0B61" w:rsidRDefault="004C0B61" w:rsidP="004C0B61">
      <w:pPr>
        <w:shd w:val="clear" w:color="auto" w:fill="FFFFFF"/>
        <w:jc w:val="both"/>
        <w:rPr>
          <w:rFonts w:ascii="Trebuchet MS" w:hAnsi="Trebuchet MS" w:cs="Arial"/>
          <w:noProof/>
          <w:sz w:val="22"/>
          <w:szCs w:val="22"/>
          <w:lang w:val="en-GB"/>
        </w:rPr>
      </w:pPr>
    </w:p>
    <w:p w14:paraId="435F444D"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15 on the agenda: </w:t>
      </w:r>
    </w:p>
    <w:p w14:paraId="38CC22E7" w14:textId="7777777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Takes note of the Consolidated Report on payments to governments for 2024</w:t>
      </w:r>
      <w:r w:rsidRPr="004C0B61">
        <w:rPr>
          <w:rFonts w:ascii="Trebuchet MS" w:hAnsi="Trebuchet MS" w:cs="Arial"/>
          <w:b/>
          <w:noProof/>
          <w:sz w:val="22"/>
          <w:szCs w:val="22"/>
          <w:lang w:val="en-GB"/>
        </w:rPr>
        <w:t>”.</w:t>
      </w:r>
    </w:p>
    <w:p w14:paraId="0A63C519" w14:textId="77777777" w:rsidR="004C0B61" w:rsidRPr="004C0B61" w:rsidRDefault="004C0B61" w:rsidP="004C0B61">
      <w:pPr>
        <w:ind w:right="9"/>
        <w:jc w:val="both"/>
        <w:rPr>
          <w:rFonts w:ascii="Trebuchet MS" w:hAnsi="Trebuchet MS" w:cs="Arial"/>
          <w:b/>
          <w:sz w:val="22"/>
          <w:szCs w:val="22"/>
          <w:lang w:val="en-GB"/>
        </w:rPr>
      </w:pPr>
    </w:p>
    <w:p w14:paraId="308D0701"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2D5290AC" w14:textId="77777777" w:rsidR="004C0B61" w:rsidRPr="004C0B61" w:rsidRDefault="004C0B61" w:rsidP="004C0B61">
      <w:pPr>
        <w:spacing w:before="240"/>
        <w:jc w:val="both"/>
        <w:rPr>
          <w:rFonts w:ascii="Trebuchet MS" w:eastAsia="Times New Roman" w:hAnsi="Trebuchet MS" w:cs="Arial"/>
          <w:iCs/>
          <w:noProof/>
          <w:sz w:val="22"/>
          <w:szCs w:val="22"/>
          <w:lang w:val="en-GB" w:eastAsia="ro-RO"/>
        </w:rPr>
      </w:pPr>
    </w:p>
    <w:p w14:paraId="03225426" w14:textId="77777777" w:rsidR="00363011" w:rsidRPr="00363011" w:rsidRDefault="00363011" w:rsidP="00363011">
      <w:pPr>
        <w:shd w:val="clear" w:color="auto" w:fill="FFFFFF"/>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 xml:space="preserve">The draft resolution for item 16 on the agenda: </w:t>
      </w:r>
    </w:p>
    <w:p w14:paraId="5702E143" w14:textId="77777777" w:rsidR="00363011" w:rsidRPr="00363011" w:rsidRDefault="00363011" w:rsidP="00363011">
      <w:pPr>
        <w:jc w:val="both"/>
        <w:rPr>
          <w:rFonts w:ascii="Trebuchet MS" w:eastAsia="Calibri" w:hAnsi="Trebuchet MS" w:cs="Arial"/>
          <w:b/>
          <w:noProof/>
          <w:sz w:val="22"/>
          <w:szCs w:val="22"/>
          <w:lang w:val="en-GB"/>
        </w:rPr>
      </w:pPr>
      <w:bookmarkStart w:id="4" w:name="_Hlk194009345"/>
      <w:r w:rsidRPr="00363011">
        <w:rPr>
          <w:rFonts w:ascii="Trebuchet MS" w:eastAsia="Calibri" w:hAnsi="Trebuchet MS" w:cs="Arial"/>
          <w:b/>
          <w:noProof/>
          <w:sz w:val="22"/>
          <w:szCs w:val="22"/>
          <w:lang w:val="en-US"/>
        </w:rPr>
        <w:t>„</w:t>
      </w:r>
      <w:r w:rsidRPr="00363011">
        <w:rPr>
          <w:rFonts w:ascii="Trebuchet MS" w:eastAsia="Times New Roman" w:hAnsi="Trebuchet MS"/>
          <w:b/>
          <w:sz w:val="22"/>
          <w:szCs w:val="22"/>
          <w:lang w:val="en-US"/>
        </w:rPr>
        <w:t xml:space="preserve">Approves the maximum amount insured related to the professional liability insurance (namely the extent of the indemnity per event and in aggregate, for Board members and officers) at a maximum amount of indemnity per event and annual aggregate of EUR 20,000,000, an element to be determined prior to the initiation of the procurement procedure in compliance with the conditions and limits described in the Request for approval </w:t>
      </w:r>
      <w:r w:rsidRPr="00363011">
        <w:rPr>
          <w:rFonts w:ascii="Trebuchet MS" w:eastAsia="Calibri" w:hAnsi="Trebuchet MS" w:cs="Arial"/>
          <w:b/>
          <w:noProof/>
          <w:sz w:val="22"/>
          <w:szCs w:val="22"/>
          <w:lang w:val="en-US"/>
        </w:rPr>
        <w:t>no. 12349/27.03.2025</w:t>
      </w:r>
      <w:r w:rsidRPr="00363011">
        <w:rPr>
          <w:rFonts w:ascii="Trebuchet MS" w:eastAsia="Times New Roman" w:hAnsi="Trebuchet MS"/>
          <w:b/>
          <w:sz w:val="22"/>
          <w:szCs w:val="22"/>
          <w:lang w:val="en-US"/>
        </w:rPr>
        <w:t>”.</w:t>
      </w:r>
    </w:p>
    <w:bookmarkEnd w:id="4"/>
    <w:p w14:paraId="2488AEAC" w14:textId="77777777" w:rsidR="00363011" w:rsidRPr="00363011" w:rsidRDefault="00363011" w:rsidP="00363011">
      <w:pPr>
        <w:jc w:val="both"/>
        <w:rPr>
          <w:rFonts w:ascii="Trebuchet MS" w:eastAsia="Calibri" w:hAnsi="Trebuchet MS" w:cs="Arial"/>
          <w:b/>
          <w:noProof/>
          <w:sz w:val="22"/>
          <w:szCs w:val="22"/>
          <w:lang w:val="en-GB"/>
        </w:rPr>
      </w:pPr>
    </w:p>
    <w:p w14:paraId="2AA1B31C" w14:textId="77777777" w:rsidR="00363011" w:rsidRPr="00363011" w:rsidRDefault="00363011" w:rsidP="00363011">
      <w:pPr>
        <w:suppressAutoHyphens w:val="0"/>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For __________ Against_________ Abstain_________</w:t>
      </w:r>
    </w:p>
    <w:p w14:paraId="1860FC9C" w14:textId="77777777" w:rsidR="00363011" w:rsidRPr="00363011" w:rsidRDefault="00363011" w:rsidP="00363011">
      <w:pPr>
        <w:shd w:val="clear" w:color="auto" w:fill="FFFFFF"/>
        <w:jc w:val="both"/>
        <w:rPr>
          <w:rFonts w:ascii="Trebuchet MS" w:eastAsia="Times New Roman" w:hAnsi="Trebuchet MS" w:cs="Arial"/>
          <w:i/>
          <w:noProof/>
          <w:sz w:val="22"/>
          <w:szCs w:val="22"/>
          <w:lang w:val="en-GB" w:eastAsia="ro-RO"/>
        </w:rPr>
      </w:pPr>
    </w:p>
    <w:p w14:paraId="5BC7B26E" w14:textId="77777777" w:rsidR="00363011" w:rsidRPr="00363011" w:rsidRDefault="00363011" w:rsidP="00363011">
      <w:pPr>
        <w:shd w:val="clear" w:color="auto" w:fill="FFFFFF"/>
        <w:jc w:val="both"/>
        <w:rPr>
          <w:rFonts w:ascii="Trebuchet MS" w:eastAsia="Times New Roman" w:hAnsi="Trebuchet MS" w:cs="Arial"/>
          <w:i/>
          <w:noProof/>
          <w:sz w:val="22"/>
          <w:szCs w:val="22"/>
          <w:lang w:val="en-GB" w:eastAsia="ro-RO"/>
        </w:rPr>
      </w:pPr>
    </w:p>
    <w:p w14:paraId="171503ED" w14:textId="77777777" w:rsidR="00363011" w:rsidRPr="00363011" w:rsidRDefault="00363011" w:rsidP="00363011">
      <w:pPr>
        <w:shd w:val="clear" w:color="auto" w:fill="FFFFFF"/>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 xml:space="preserve">The draft resolution for item 17 on the agenda: </w:t>
      </w:r>
    </w:p>
    <w:p w14:paraId="1C444609" w14:textId="77777777" w:rsidR="00363011" w:rsidRPr="00363011" w:rsidRDefault="00363011" w:rsidP="00363011">
      <w:pPr>
        <w:spacing w:after="120"/>
        <w:jc w:val="both"/>
        <w:rPr>
          <w:rFonts w:ascii="Trebuchet MS" w:eastAsia="Calibri" w:hAnsi="Trebuchet MS" w:cs="Arial"/>
          <w:b/>
          <w:noProof/>
          <w:sz w:val="22"/>
          <w:szCs w:val="22"/>
          <w:lang w:val="en-US"/>
        </w:rPr>
      </w:pPr>
      <w:bookmarkStart w:id="5" w:name="_Hlk194010050"/>
      <w:r w:rsidRPr="00363011">
        <w:rPr>
          <w:rFonts w:ascii="Trebuchet MS" w:eastAsia="Calibri" w:hAnsi="Trebuchet MS" w:cs="Arial"/>
          <w:b/>
          <w:noProof/>
          <w:sz w:val="22"/>
          <w:szCs w:val="22"/>
          <w:lang w:val="en-US"/>
        </w:rPr>
        <w:t>„Ordinary General Shareholder Meeting:</w:t>
      </w:r>
    </w:p>
    <w:p w14:paraId="023F7DD2" w14:textId="77777777" w:rsidR="00363011" w:rsidRPr="00363011" w:rsidRDefault="00363011" w:rsidP="00363011">
      <w:pPr>
        <w:numPr>
          <w:ilvl w:val="0"/>
          <w:numId w:val="12"/>
        </w:numPr>
        <w:spacing w:after="120"/>
        <w:contextualSpacing/>
        <w:jc w:val="both"/>
        <w:rPr>
          <w:rFonts w:ascii="Trebuchet MS" w:eastAsia="Calibri" w:hAnsi="Trebuchet MS" w:cs="Arial"/>
          <w:b/>
          <w:noProof/>
          <w:sz w:val="22"/>
          <w:szCs w:val="22"/>
          <w:lang w:val="en-US"/>
        </w:rPr>
      </w:pPr>
      <w:r w:rsidRPr="00363011">
        <w:rPr>
          <w:rFonts w:ascii="Trebuchet MS" w:eastAsia="Calibri" w:hAnsi="Trebuchet MS" w:cs="Arial"/>
          <w:b/>
          <w:noProof/>
          <w:sz w:val="22"/>
          <w:szCs w:val="22"/>
          <w:lang w:val="en-US"/>
        </w:rPr>
        <w:t>ratifies/approves Natural Gas Sale Contract no. PET 7/2025 with Societatea Electrocentrale Bucureşti S.A.;</w:t>
      </w:r>
    </w:p>
    <w:p w14:paraId="58CA9DC1" w14:textId="77777777" w:rsidR="00363011" w:rsidRPr="00363011" w:rsidRDefault="00363011" w:rsidP="00363011">
      <w:pPr>
        <w:numPr>
          <w:ilvl w:val="0"/>
          <w:numId w:val="12"/>
        </w:numPr>
        <w:contextualSpacing/>
        <w:jc w:val="both"/>
        <w:rPr>
          <w:rFonts w:ascii="Trebuchet MS" w:eastAsia="Calibri" w:hAnsi="Trebuchet MS" w:cs="Arial"/>
          <w:b/>
          <w:noProof/>
          <w:sz w:val="22"/>
          <w:szCs w:val="22"/>
          <w:lang w:val="en-US"/>
        </w:rPr>
      </w:pPr>
      <w:r w:rsidRPr="00363011">
        <w:rPr>
          <w:rFonts w:ascii="Trebuchet MS" w:eastAsia="Calibri" w:hAnsi="Trebuchet MS" w:cs="Arial"/>
          <w:b/>
          <w:noProof/>
          <w:sz w:val="22"/>
          <w:szCs w:val="22"/>
          <w:lang w:val="en-US"/>
        </w:rPr>
        <w:t>ratifies Natural Gas Sale Contract no. VG 8/2025 with Societatea Electrocentrale Bucureşti S.A.”.</w:t>
      </w:r>
    </w:p>
    <w:bookmarkEnd w:id="5"/>
    <w:p w14:paraId="7012E55B" w14:textId="77777777" w:rsidR="00363011" w:rsidRPr="00363011" w:rsidRDefault="00363011" w:rsidP="00363011">
      <w:pPr>
        <w:suppressAutoHyphens w:val="0"/>
        <w:jc w:val="both"/>
        <w:rPr>
          <w:rFonts w:ascii="Trebuchet MS" w:eastAsia="Calibri" w:hAnsi="Trebuchet MS" w:cs="Arial"/>
          <w:noProof/>
          <w:sz w:val="22"/>
          <w:szCs w:val="22"/>
          <w:lang w:val="en-GB"/>
        </w:rPr>
      </w:pPr>
    </w:p>
    <w:p w14:paraId="1FF5C8A6" w14:textId="77777777" w:rsidR="00363011" w:rsidRPr="00363011" w:rsidRDefault="00363011" w:rsidP="00363011">
      <w:pPr>
        <w:suppressAutoHyphens w:val="0"/>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For __________ Against_________ Abstain_________</w:t>
      </w:r>
    </w:p>
    <w:p w14:paraId="331F540F" w14:textId="77777777" w:rsidR="00363011" w:rsidRPr="00363011" w:rsidRDefault="00363011" w:rsidP="00363011">
      <w:pPr>
        <w:shd w:val="clear" w:color="auto" w:fill="FFFFFF"/>
        <w:jc w:val="both"/>
        <w:rPr>
          <w:rFonts w:ascii="Trebuchet MS" w:eastAsia="Calibri" w:hAnsi="Trebuchet MS" w:cs="Arial"/>
          <w:noProof/>
          <w:sz w:val="22"/>
          <w:szCs w:val="22"/>
          <w:lang w:val="en-GB"/>
        </w:rPr>
      </w:pPr>
    </w:p>
    <w:p w14:paraId="53E88F6D" w14:textId="77777777" w:rsidR="00363011" w:rsidRPr="00363011" w:rsidRDefault="00363011" w:rsidP="00363011">
      <w:pPr>
        <w:shd w:val="clear" w:color="auto" w:fill="FFFFFF"/>
        <w:jc w:val="both"/>
        <w:rPr>
          <w:rFonts w:ascii="Trebuchet MS" w:eastAsia="Calibri" w:hAnsi="Trebuchet MS" w:cs="Arial"/>
          <w:noProof/>
          <w:sz w:val="22"/>
          <w:szCs w:val="22"/>
          <w:lang w:val="en-GB"/>
        </w:rPr>
      </w:pPr>
    </w:p>
    <w:p w14:paraId="1BD3297C" w14:textId="77777777" w:rsidR="00363011" w:rsidRPr="00363011" w:rsidRDefault="00363011" w:rsidP="00363011">
      <w:pPr>
        <w:shd w:val="clear" w:color="auto" w:fill="FFFFFF"/>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 xml:space="preserve">The draft resolution for item 18 on the agenda: </w:t>
      </w:r>
    </w:p>
    <w:p w14:paraId="0EEB2835" w14:textId="77777777" w:rsidR="00363011" w:rsidRPr="00363011" w:rsidRDefault="00363011" w:rsidP="00363011">
      <w:pPr>
        <w:ind w:right="9"/>
        <w:jc w:val="both"/>
        <w:rPr>
          <w:rFonts w:ascii="Trebuchet MS" w:eastAsia="Calibri" w:hAnsi="Trebuchet MS" w:cs="Arial"/>
          <w:b/>
          <w:noProof/>
          <w:sz w:val="22"/>
          <w:szCs w:val="22"/>
          <w:lang w:val="en-GB"/>
        </w:rPr>
      </w:pPr>
      <w:r w:rsidRPr="00363011">
        <w:rPr>
          <w:rFonts w:ascii="Trebuchet MS" w:eastAsia="Calibri" w:hAnsi="Trebuchet MS" w:cs="Arial"/>
          <w:b/>
          <w:noProof/>
          <w:sz w:val="22"/>
          <w:szCs w:val="22"/>
          <w:lang w:val="en-GB"/>
        </w:rPr>
        <w:t>„In consideration of the Request for approval no. 12208/27.03.2025, approves the procurement of external legal consultancy, assistance and/or representation services for S.N.G.N. ROMGAZ S.A. in connection with the acquisitions of assets contributing to AZOMURES production activity”.</w:t>
      </w:r>
    </w:p>
    <w:p w14:paraId="37F73749" w14:textId="42C6C3B7" w:rsidR="004C0B61" w:rsidRDefault="00363011" w:rsidP="00363011">
      <w:pPr>
        <w:spacing w:before="240"/>
        <w:jc w:val="both"/>
        <w:rPr>
          <w:rFonts w:ascii="Trebuchet MS" w:eastAsia="Calibri" w:hAnsi="Trebuchet MS" w:cs="Arial"/>
          <w:noProof/>
          <w:sz w:val="22"/>
          <w:szCs w:val="22"/>
          <w:lang w:val="en-GB"/>
        </w:rPr>
      </w:pPr>
      <w:r w:rsidRPr="00363011">
        <w:rPr>
          <w:rFonts w:ascii="Trebuchet MS" w:eastAsia="Calibri" w:hAnsi="Trebuchet MS" w:cs="Arial"/>
          <w:noProof/>
          <w:sz w:val="22"/>
          <w:szCs w:val="22"/>
          <w:lang w:val="en-GB"/>
        </w:rPr>
        <w:t>For __________ Against_________ Abstain_________</w:t>
      </w:r>
    </w:p>
    <w:p w14:paraId="5E4F2DE1" w14:textId="77777777" w:rsidR="00363011" w:rsidRPr="004C0B61" w:rsidRDefault="00363011" w:rsidP="00363011">
      <w:pPr>
        <w:spacing w:before="240"/>
        <w:jc w:val="both"/>
        <w:rPr>
          <w:rFonts w:ascii="Trebuchet MS" w:eastAsia="Times New Roman" w:hAnsi="Trebuchet MS" w:cs="Arial"/>
          <w:iCs/>
          <w:noProof/>
          <w:sz w:val="22"/>
          <w:szCs w:val="22"/>
          <w:lang w:val="en-GB" w:eastAsia="ro-RO"/>
        </w:rPr>
      </w:pPr>
    </w:p>
    <w:p w14:paraId="2210CF40" w14:textId="77777777" w:rsidR="004C0B61" w:rsidRPr="004C0B61" w:rsidRDefault="004C0B61" w:rsidP="004C0B61">
      <w:pPr>
        <w:shd w:val="clear" w:color="auto" w:fill="FFFFFF"/>
        <w:jc w:val="both"/>
        <w:rPr>
          <w:rFonts w:ascii="Trebuchet MS" w:hAnsi="Trebuchet MS" w:cs="Arial"/>
          <w:noProof/>
          <w:sz w:val="22"/>
          <w:szCs w:val="22"/>
          <w:lang w:val="en-GB"/>
        </w:rPr>
      </w:pPr>
      <w:bookmarkStart w:id="6" w:name="_Hlk194007274"/>
      <w:r w:rsidRPr="004C0B61">
        <w:rPr>
          <w:rFonts w:ascii="Trebuchet MS" w:hAnsi="Trebuchet MS" w:cs="Arial"/>
          <w:noProof/>
          <w:sz w:val="22"/>
          <w:szCs w:val="22"/>
          <w:lang w:val="en-GB"/>
        </w:rPr>
        <w:t xml:space="preserve">The draft resolution for item 19 on the agenda: </w:t>
      </w:r>
    </w:p>
    <w:p w14:paraId="79EB9B05"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 xml:space="preserve">In consideration of the </w:t>
      </w:r>
      <w:bookmarkStart w:id="7" w:name="_Hlk194010371"/>
      <w:r w:rsidRPr="004C0B61">
        <w:rPr>
          <w:rFonts w:ascii="Trebuchet MS" w:eastAsia="Times New Roman" w:hAnsi="Trebuchet MS"/>
          <w:b/>
          <w:sz w:val="22"/>
          <w:szCs w:val="22"/>
          <w:lang w:val="en-US"/>
        </w:rPr>
        <w:t xml:space="preserve">Request for approval no. </w:t>
      </w:r>
      <w:bookmarkEnd w:id="7"/>
      <w:r w:rsidRPr="004C0B61">
        <w:rPr>
          <w:rFonts w:ascii="Trebuchet MS" w:eastAsia="Times New Roman" w:hAnsi="Trebuchet MS"/>
          <w:b/>
          <w:sz w:val="22"/>
          <w:szCs w:val="22"/>
          <w:lang w:val="en-US"/>
        </w:rPr>
        <w:t xml:space="preserve">12207/27.03.2025, approves the procurement of legal assistance, consultancy and/or representation services for </w:t>
      </w:r>
      <w:bookmarkStart w:id="8" w:name="_Hlk194010416"/>
      <w:r w:rsidRPr="004C0B61">
        <w:rPr>
          <w:rFonts w:ascii="Trebuchet MS" w:eastAsia="Times New Roman" w:hAnsi="Trebuchet MS"/>
          <w:b/>
          <w:sz w:val="22"/>
          <w:szCs w:val="22"/>
          <w:lang w:val="en-US"/>
        </w:rPr>
        <w:t>S.N.G.N. ROMGAZ S.A.</w:t>
      </w:r>
      <w:bookmarkEnd w:id="8"/>
      <w:r w:rsidRPr="004C0B61">
        <w:rPr>
          <w:rFonts w:ascii="Trebuchet MS" w:eastAsia="Times New Roman" w:hAnsi="Trebuchet MS"/>
          <w:b/>
          <w:sz w:val="22"/>
          <w:szCs w:val="22"/>
          <w:lang w:val="en-US"/>
        </w:rPr>
        <w:t xml:space="preserve"> in connection with the acquisitions of a share/asset package/business transfer from a company operating in the renewable energy field”.</w:t>
      </w:r>
    </w:p>
    <w:p w14:paraId="5EA707AD" w14:textId="77777777" w:rsidR="004C0B61" w:rsidRPr="004C0B61" w:rsidRDefault="004C0B61" w:rsidP="004C0B61">
      <w:pPr>
        <w:jc w:val="both"/>
        <w:rPr>
          <w:rFonts w:ascii="Trebuchet MS" w:hAnsi="Trebuchet MS" w:cs="Arial"/>
          <w:b/>
          <w:noProof/>
          <w:sz w:val="22"/>
          <w:szCs w:val="22"/>
          <w:lang w:val="en-GB"/>
        </w:rPr>
      </w:pPr>
    </w:p>
    <w:p w14:paraId="48DE513D"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3DF5F63"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6C690622" w14:textId="77777777" w:rsidR="004C0B61" w:rsidRDefault="004C0B61" w:rsidP="004C0B61">
      <w:pPr>
        <w:shd w:val="clear" w:color="auto" w:fill="FFFFFF"/>
        <w:jc w:val="both"/>
        <w:rPr>
          <w:rFonts w:ascii="Trebuchet MS" w:hAnsi="Trebuchet MS" w:cs="Arial"/>
          <w:noProof/>
          <w:sz w:val="22"/>
          <w:szCs w:val="22"/>
          <w:lang w:val="en-GB"/>
        </w:rPr>
      </w:pPr>
    </w:p>
    <w:p w14:paraId="7B5B24B7" w14:textId="63847AD4"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20 on the agenda: </w:t>
      </w:r>
    </w:p>
    <w:p w14:paraId="729C72D1"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hAnsi="Trebuchet MS" w:cs="Arial"/>
          <w:b/>
          <w:noProof/>
          <w:sz w:val="22"/>
          <w:szCs w:val="22"/>
          <w:lang w:val="en-GB"/>
        </w:rPr>
        <w:t>In consideration of the Request for approval no. 12328/27.03.2025, approves the procurement of legal assistance, consultancy and/or representation services for S.N.G.N. ROMGAZ S.A. to access funding in form of bond issuance, the following two tranches according to Romgaz EMTN Program</w:t>
      </w:r>
      <w:r w:rsidRPr="004C0B61">
        <w:rPr>
          <w:rFonts w:ascii="Trebuchet MS" w:hAnsi="Trebuchet MS" w:cs="Arial"/>
          <w:b/>
          <w:noProof/>
          <w:sz w:val="22"/>
          <w:szCs w:val="22"/>
          <w:lang w:val="en-US"/>
        </w:rPr>
        <w:t>”.</w:t>
      </w:r>
    </w:p>
    <w:p w14:paraId="76EDC351" w14:textId="77777777" w:rsidR="004C0B61" w:rsidRPr="004C0B61" w:rsidRDefault="004C0B61" w:rsidP="004C0B61">
      <w:pPr>
        <w:jc w:val="both"/>
        <w:rPr>
          <w:rFonts w:ascii="Trebuchet MS" w:hAnsi="Trebuchet MS" w:cs="Arial"/>
          <w:b/>
          <w:noProof/>
          <w:sz w:val="22"/>
          <w:szCs w:val="22"/>
          <w:lang w:val="en-GB"/>
        </w:rPr>
      </w:pPr>
    </w:p>
    <w:p w14:paraId="1A6B0353"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66B353C" w14:textId="77777777" w:rsidR="004C0B61" w:rsidRPr="004C0B61" w:rsidRDefault="004C0B61" w:rsidP="004C0B61">
      <w:pPr>
        <w:shd w:val="clear" w:color="auto" w:fill="FFFFFF"/>
        <w:jc w:val="both"/>
        <w:rPr>
          <w:rFonts w:ascii="Trebuchet MS" w:hAnsi="Trebuchet MS" w:cs="Arial"/>
          <w:noProof/>
          <w:sz w:val="22"/>
          <w:szCs w:val="22"/>
          <w:lang w:val="en-GB"/>
        </w:rPr>
      </w:pPr>
    </w:p>
    <w:p w14:paraId="29E60D79" w14:textId="77777777" w:rsidR="004C0B61" w:rsidRPr="004C0B61" w:rsidRDefault="004C0B61" w:rsidP="004C0B61">
      <w:pPr>
        <w:shd w:val="clear" w:color="auto" w:fill="FFFFFF"/>
        <w:jc w:val="both"/>
        <w:rPr>
          <w:rFonts w:ascii="Trebuchet MS" w:hAnsi="Trebuchet MS" w:cs="Arial"/>
          <w:noProof/>
          <w:sz w:val="22"/>
          <w:szCs w:val="22"/>
          <w:lang w:val="en-GB"/>
        </w:rPr>
      </w:pPr>
    </w:p>
    <w:p w14:paraId="799FAA27"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21 on the agenda: </w:t>
      </w:r>
    </w:p>
    <w:p w14:paraId="7D4F9A24" w14:textId="7777777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 xml:space="preserve">Takes note of the Report regarding the transactions concluded by S.N.G.N. ROMGAZ S.A. with banks controlled by Romanian State parties </w:t>
      </w:r>
      <w:bookmarkStart w:id="9" w:name="_Hlk194011254"/>
      <w:r w:rsidRPr="004C0B61">
        <w:rPr>
          <w:rFonts w:ascii="Trebuchet MS" w:hAnsi="Trebuchet MS" w:cs="Arial"/>
          <w:b/>
          <w:iCs/>
          <w:sz w:val="22"/>
          <w:szCs w:val="22"/>
          <w:lang w:val="en-GB"/>
        </w:rPr>
        <w:t>during</w:t>
      </w:r>
      <w:bookmarkEnd w:id="9"/>
      <w:r w:rsidRPr="004C0B61">
        <w:rPr>
          <w:rFonts w:ascii="Trebuchet MS" w:hAnsi="Trebuchet MS" w:cs="Arial"/>
          <w:b/>
          <w:iCs/>
          <w:sz w:val="22"/>
          <w:szCs w:val="22"/>
          <w:lang w:val="en-GB"/>
        </w:rPr>
        <w:t xml:space="preserve"> February 26, 2025, and March 25, 2025, pursuant to art. 52, par. (3) of GEO no. 109/2011</w:t>
      </w:r>
      <w:r w:rsidRPr="004C0B61">
        <w:rPr>
          <w:rFonts w:ascii="Trebuchet MS" w:hAnsi="Trebuchet MS" w:cs="Arial"/>
          <w:b/>
          <w:noProof/>
          <w:sz w:val="22"/>
          <w:szCs w:val="22"/>
          <w:lang w:val="en-GB"/>
        </w:rPr>
        <w:t>”.</w:t>
      </w:r>
    </w:p>
    <w:p w14:paraId="71D96092" w14:textId="77777777" w:rsidR="004C0B61" w:rsidRPr="004C0B61" w:rsidRDefault="004C0B61" w:rsidP="004C0B61">
      <w:pPr>
        <w:ind w:right="9"/>
        <w:jc w:val="both"/>
        <w:rPr>
          <w:rFonts w:ascii="Trebuchet MS" w:hAnsi="Trebuchet MS" w:cs="Arial"/>
          <w:b/>
          <w:sz w:val="22"/>
          <w:szCs w:val="22"/>
          <w:lang w:val="en-GB"/>
        </w:rPr>
      </w:pPr>
    </w:p>
    <w:p w14:paraId="3B5AA6DE"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1FC066CC" w14:textId="77777777" w:rsidR="004C0B61" w:rsidRPr="004C0B61" w:rsidRDefault="004C0B61" w:rsidP="004C0B61">
      <w:pPr>
        <w:spacing w:before="240"/>
        <w:jc w:val="both"/>
        <w:rPr>
          <w:rFonts w:ascii="Trebuchet MS" w:eastAsia="Times New Roman" w:hAnsi="Trebuchet MS" w:cs="Arial"/>
          <w:i/>
          <w:noProof/>
          <w:sz w:val="22"/>
          <w:szCs w:val="22"/>
          <w:lang w:val="en-GB" w:eastAsia="ro-RO"/>
        </w:rPr>
      </w:pPr>
    </w:p>
    <w:bookmarkEnd w:id="6"/>
    <w:p w14:paraId="333452E9"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22 on the agenda: </w:t>
      </w:r>
    </w:p>
    <w:p w14:paraId="795D9453" w14:textId="77777777" w:rsidR="004C0B61" w:rsidRPr="004C0B61" w:rsidRDefault="004C0B61" w:rsidP="004C0B61">
      <w:pPr>
        <w:jc w:val="both"/>
        <w:rPr>
          <w:rFonts w:ascii="Trebuchet MS" w:hAnsi="Trebuchet MS" w:cs="Arial"/>
          <w:b/>
          <w:noProof/>
          <w:sz w:val="22"/>
          <w:szCs w:val="22"/>
          <w:lang w:val="en-GB"/>
        </w:rPr>
      </w:pPr>
      <w:r w:rsidRPr="004C0B61">
        <w:rPr>
          <w:rFonts w:ascii="Trebuchet MS" w:hAnsi="Trebuchet MS" w:cs="Arial"/>
          <w:b/>
          <w:noProof/>
          <w:sz w:val="22"/>
          <w:szCs w:val="22"/>
          <w:lang w:val="en-US"/>
        </w:rPr>
        <w:t>„</w:t>
      </w:r>
      <w:r w:rsidRPr="004C0B61">
        <w:rPr>
          <w:rFonts w:ascii="Trebuchet MS" w:eastAsia="Times New Roman" w:hAnsi="Trebuchet MS"/>
          <w:b/>
          <w:sz w:val="22"/>
          <w:szCs w:val="22"/>
          <w:lang w:val="en-US"/>
        </w:rPr>
        <w:t>Takes note of the Report on certain transactions concluded between S.N.G.N. ROMGAZ S.A. and other public enterprises during March 2025”.</w:t>
      </w:r>
    </w:p>
    <w:p w14:paraId="161032A2" w14:textId="77777777" w:rsidR="004C0B61" w:rsidRPr="004C0B61" w:rsidRDefault="004C0B61" w:rsidP="004C0B61">
      <w:pPr>
        <w:jc w:val="both"/>
        <w:rPr>
          <w:rFonts w:ascii="Trebuchet MS" w:hAnsi="Trebuchet MS" w:cs="Arial"/>
          <w:b/>
          <w:noProof/>
          <w:sz w:val="22"/>
          <w:szCs w:val="22"/>
          <w:lang w:val="en-GB"/>
        </w:rPr>
      </w:pPr>
    </w:p>
    <w:p w14:paraId="06733BB5"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DC653D7"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0C8B24B8" w14:textId="77777777" w:rsidR="004C0B61" w:rsidRPr="004C0B61" w:rsidRDefault="004C0B61" w:rsidP="004C0B61">
      <w:pPr>
        <w:shd w:val="clear" w:color="auto" w:fill="FFFFFF"/>
        <w:jc w:val="both"/>
        <w:rPr>
          <w:rFonts w:ascii="Trebuchet MS" w:eastAsia="Times New Roman" w:hAnsi="Trebuchet MS" w:cs="Arial"/>
          <w:i/>
          <w:noProof/>
          <w:sz w:val="22"/>
          <w:szCs w:val="22"/>
          <w:lang w:val="en-GB" w:eastAsia="ro-RO"/>
        </w:rPr>
      </w:pPr>
    </w:p>
    <w:p w14:paraId="510C5081" w14:textId="141D2E81"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lastRenderedPageBreak/>
        <w:t xml:space="preserve">The draft resolution for item 23 on the agenda: </w:t>
      </w:r>
    </w:p>
    <w:p w14:paraId="60793E67" w14:textId="7777777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Establishes July 4, 2025, as the Record Date, namely the date for identifying the shareholders that benefit from dividends or other rights and who are affected by Resolution of the Ordinary General Meeting of Shareholders</w:t>
      </w:r>
      <w:r w:rsidRPr="004C0B61">
        <w:rPr>
          <w:rFonts w:ascii="Trebuchet MS" w:hAnsi="Trebuchet MS" w:cs="Arial"/>
          <w:b/>
          <w:noProof/>
          <w:sz w:val="22"/>
          <w:szCs w:val="22"/>
          <w:lang w:val="en-GB"/>
        </w:rPr>
        <w:t>”.</w:t>
      </w:r>
    </w:p>
    <w:p w14:paraId="265BD195" w14:textId="77777777" w:rsidR="004C0B61" w:rsidRPr="004C0B61" w:rsidRDefault="004C0B61" w:rsidP="004C0B61">
      <w:pPr>
        <w:jc w:val="both"/>
        <w:rPr>
          <w:rFonts w:ascii="Trebuchet MS" w:hAnsi="Trebuchet MS" w:cs="Arial"/>
          <w:b/>
          <w:noProof/>
          <w:sz w:val="22"/>
          <w:szCs w:val="22"/>
          <w:lang w:val="en-GB"/>
        </w:rPr>
      </w:pPr>
    </w:p>
    <w:p w14:paraId="2B8404A4"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p w14:paraId="02B2D44F" w14:textId="77777777" w:rsidR="004C0B61" w:rsidRPr="004C0B61" w:rsidRDefault="004C0B61" w:rsidP="004C0B61">
      <w:pPr>
        <w:shd w:val="clear" w:color="auto" w:fill="FFFFFF"/>
        <w:jc w:val="both"/>
        <w:rPr>
          <w:rFonts w:ascii="Trebuchet MS" w:hAnsi="Trebuchet MS" w:cs="Arial"/>
          <w:noProof/>
          <w:sz w:val="22"/>
          <w:szCs w:val="22"/>
          <w:lang w:val="en-GB"/>
        </w:rPr>
      </w:pPr>
    </w:p>
    <w:p w14:paraId="21878E2D" w14:textId="77777777" w:rsidR="004C0B61" w:rsidRPr="004C0B61" w:rsidRDefault="004C0B61" w:rsidP="004C0B61">
      <w:pPr>
        <w:shd w:val="clear" w:color="auto" w:fill="FFFFFF"/>
        <w:jc w:val="both"/>
        <w:rPr>
          <w:rFonts w:ascii="Trebuchet MS" w:hAnsi="Trebuchet MS" w:cs="Arial"/>
          <w:noProof/>
          <w:sz w:val="22"/>
          <w:szCs w:val="22"/>
          <w:lang w:val="en-GB"/>
        </w:rPr>
      </w:pPr>
    </w:p>
    <w:p w14:paraId="68662605" w14:textId="77777777" w:rsidR="004C0B61" w:rsidRPr="004C0B61" w:rsidRDefault="004C0B61" w:rsidP="004C0B61">
      <w:pPr>
        <w:shd w:val="clear" w:color="auto" w:fill="FFFFFF"/>
        <w:jc w:val="both"/>
        <w:rPr>
          <w:rFonts w:ascii="Trebuchet MS" w:hAnsi="Trebuchet MS" w:cs="Arial"/>
          <w:noProof/>
          <w:sz w:val="22"/>
          <w:szCs w:val="22"/>
          <w:lang w:val="en-GB"/>
        </w:rPr>
      </w:pPr>
      <w:bookmarkStart w:id="10" w:name="_Hlk194007300"/>
      <w:r w:rsidRPr="004C0B61">
        <w:rPr>
          <w:rFonts w:ascii="Trebuchet MS" w:hAnsi="Trebuchet MS" w:cs="Arial"/>
          <w:noProof/>
          <w:sz w:val="22"/>
          <w:szCs w:val="22"/>
          <w:lang w:val="en-GB"/>
        </w:rPr>
        <w:t xml:space="preserve">The draft resolution for item 24 on the agenda: </w:t>
      </w:r>
    </w:p>
    <w:p w14:paraId="31CD7E36" w14:textId="77777777" w:rsidR="004C0B61" w:rsidRPr="004C0B61" w:rsidRDefault="004C0B61" w:rsidP="004C0B61">
      <w:pPr>
        <w:ind w:right="22"/>
        <w:jc w:val="both"/>
        <w:rPr>
          <w:rFonts w:ascii="Trebuchet MS" w:hAnsi="Trebuchet MS" w:cs="Arial"/>
          <w:b/>
          <w:noProof/>
          <w:sz w:val="22"/>
          <w:szCs w:val="22"/>
          <w:lang w:val="en-GB"/>
        </w:rPr>
      </w:pPr>
      <w:bookmarkStart w:id="11" w:name="_Hlk194011470"/>
      <w:r w:rsidRPr="004C0B61">
        <w:rPr>
          <w:rFonts w:ascii="Trebuchet MS" w:hAnsi="Trebuchet MS" w:cs="Arial"/>
          <w:b/>
          <w:noProof/>
          <w:sz w:val="22"/>
          <w:szCs w:val="22"/>
          <w:lang w:val="en-GB"/>
        </w:rPr>
        <w:t>„</w:t>
      </w:r>
      <w:r w:rsidRPr="004C0B61">
        <w:rPr>
          <w:rFonts w:ascii="Trebuchet MS" w:hAnsi="Trebuchet MS" w:cs="Arial"/>
          <w:b/>
          <w:iCs/>
          <w:sz w:val="22"/>
          <w:szCs w:val="22"/>
          <w:lang w:val="en-GB"/>
        </w:rPr>
        <w:t>Establishes July 3, 2025, as Ex-Date, representing the date falling one settlement cycle minus one business day before the Record Date, as of which the financial instruments provided under the corporate bodies’ resolutions are traded without the rights resulting from such resolution</w:t>
      </w:r>
      <w:r w:rsidRPr="004C0B61">
        <w:rPr>
          <w:rFonts w:ascii="Trebuchet MS" w:hAnsi="Trebuchet MS" w:cs="Arial"/>
          <w:b/>
          <w:noProof/>
          <w:sz w:val="22"/>
          <w:szCs w:val="22"/>
          <w:lang w:val="en-GB"/>
        </w:rPr>
        <w:t>”.</w:t>
      </w:r>
    </w:p>
    <w:bookmarkEnd w:id="11"/>
    <w:p w14:paraId="336FA2C7" w14:textId="77777777" w:rsidR="004C0B61" w:rsidRPr="004C0B61" w:rsidRDefault="004C0B61" w:rsidP="004C0B61">
      <w:pPr>
        <w:ind w:right="9"/>
        <w:jc w:val="both"/>
        <w:rPr>
          <w:rFonts w:ascii="Trebuchet MS" w:hAnsi="Trebuchet MS" w:cs="Arial"/>
          <w:b/>
          <w:sz w:val="22"/>
          <w:szCs w:val="22"/>
          <w:lang w:val="en-GB"/>
        </w:rPr>
      </w:pPr>
    </w:p>
    <w:p w14:paraId="5CC478DE" w14:textId="77777777" w:rsidR="004C0B61" w:rsidRPr="004C0B61" w:rsidRDefault="004C0B61" w:rsidP="004C0B61">
      <w:pPr>
        <w:suppressAutoHyphens w:val="0"/>
        <w:jc w:val="both"/>
        <w:rPr>
          <w:rFonts w:ascii="Trebuchet MS" w:hAnsi="Trebuchet MS" w:cs="Arial"/>
          <w:noProof/>
          <w:sz w:val="22"/>
          <w:szCs w:val="22"/>
          <w:lang w:val="en-GB"/>
        </w:rPr>
      </w:pPr>
      <w:r w:rsidRPr="004C0B61">
        <w:rPr>
          <w:rFonts w:ascii="Trebuchet MS" w:hAnsi="Trebuchet MS" w:cs="Arial"/>
          <w:noProof/>
          <w:sz w:val="22"/>
          <w:szCs w:val="22"/>
          <w:lang w:val="en-GB"/>
        </w:rPr>
        <w:t>For __________ Against_________ Abstain_________</w:t>
      </w:r>
    </w:p>
    <w:bookmarkEnd w:id="10"/>
    <w:p w14:paraId="785DCEE9" w14:textId="77777777" w:rsidR="004C0B61" w:rsidRPr="004C0B61" w:rsidRDefault="004C0B61" w:rsidP="004C0B61">
      <w:pPr>
        <w:spacing w:before="240"/>
        <w:jc w:val="both"/>
        <w:rPr>
          <w:rFonts w:ascii="Trebuchet MS" w:eastAsia="Times New Roman" w:hAnsi="Trebuchet MS" w:cs="Arial"/>
          <w:i/>
          <w:noProof/>
          <w:sz w:val="22"/>
          <w:szCs w:val="22"/>
          <w:lang w:val="en-GB" w:eastAsia="ro-RO"/>
        </w:rPr>
      </w:pPr>
    </w:p>
    <w:p w14:paraId="41D7C0EC" w14:textId="77777777" w:rsidR="004C0B61" w:rsidRPr="004C0B61" w:rsidRDefault="004C0B61" w:rsidP="004C0B61">
      <w:pPr>
        <w:shd w:val="clear" w:color="auto" w:fill="FFFFFF"/>
        <w:jc w:val="both"/>
        <w:rPr>
          <w:rFonts w:ascii="Trebuchet MS" w:hAnsi="Trebuchet MS" w:cs="Arial"/>
          <w:noProof/>
          <w:sz w:val="22"/>
          <w:szCs w:val="22"/>
          <w:lang w:val="en-GB"/>
        </w:rPr>
      </w:pPr>
      <w:r w:rsidRPr="004C0B61">
        <w:rPr>
          <w:rFonts w:ascii="Trebuchet MS" w:hAnsi="Trebuchet MS" w:cs="Arial"/>
          <w:noProof/>
          <w:sz w:val="22"/>
          <w:szCs w:val="22"/>
          <w:lang w:val="en-GB"/>
        </w:rPr>
        <w:t xml:space="preserve">The draft resolution for item 25 on the agenda: </w:t>
      </w:r>
    </w:p>
    <w:p w14:paraId="0D10F661" w14:textId="77777777" w:rsidR="004C0B61" w:rsidRPr="004C0B61" w:rsidRDefault="004C0B61" w:rsidP="004C0B61">
      <w:pPr>
        <w:ind w:right="22"/>
        <w:jc w:val="both"/>
        <w:rPr>
          <w:rFonts w:ascii="Trebuchet MS" w:hAnsi="Trebuchet MS" w:cs="Arial"/>
          <w:b/>
          <w:noProof/>
          <w:sz w:val="22"/>
          <w:szCs w:val="22"/>
          <w:lang w:val="en-GB"/>
        </w:rPr>
      </w:pPr>
      <w:r w:rsidRPr="004C0B61">
        <w:rPr>
          <w:rFonts w:ascii="Trebuchet MS" w:hAnsi="Trebuchet MS" w:cs="Arial"/>
          <w:b/>
          <w:noProof/>
          <w:sz w:val="22"/>
          <w:szCs w:val="22"/>
          <w:lang w:val="en-GB"/>
        </w:rPr>
        <w:t>„</w:t>
      </w:r>
      <w:r w:rsidRPr="004C0B61">
        <w:rPr>
          <w:rFonts w:ascii="Trebuchet MS" w:hAnsi="Trebuchet MS" w:cs="Arial"/>
          <w:b/>
          <w:iCs/>
          <w:sz w:val="22"/>
          <w:szCs w:val="22"/>
          <w:lang w:val="en-GB"/>
        </w:rPr>
        <w:t>Authorizes the Chairman and the Secretary of the meeting to sign the resolution of the Ordinary General Meeting of Shareholders</w:t>
      </w:r>
      <w:r w:rsidRPr="004C0B61">
        <w:rPr>
          <w:rFonts w:ascii="Trebuchet MS" w:hAnsi="Trebuchet MS" w:cs="Arial"/>
          <w:b/>
          <w:noProof/>
          <w:sz w:val="22"/>
          <w:szCs w:val="22"/>
          <w:lang w:val="en-GB"/>
        </w:rPr>
        <w:t>”.</w:t>
      </w:r>
    </w:p>
    <w:p w14:paraId="5EC89624" w14:textId="77777777" w:rsidR="004C0B61" w:rsidRPr="004C0B61" w:rsidRDefault="004C0B61" w:rsidP="004C0B61">
      <w:pPr>
        <w:ind w:right="9"/>
        <w:jc w:val="both"/>
        <w:rPr>
          <w:rFonts w:ascii="Trebuchet MS" w:hAnsi="Trebuchet MS" w:cs="Arial"/>
          <w:b/>
          <w:sz w:val="22"/>
          <w:szCs w:val="22"/>
          <w:lang w:val="en-GB"/>
        </w:rPr>
      </w:pPr>
    </w:p>
    <w:p w14:paraId="00482A54" w14:textId="5034D80A" w:rsidR="00892027" w:rsidRDefault="004C0B61" w:rsidP="004C0B61">
      <w:pPr>
        <w:spacing w:before="240"/>
        <w:rPr>
          <w:rFonts w:ascii="Trebuchet MS" w:hAnsi="Trebuchet MS" w:cs="Arial"/>
          <w:noProof/>
          <w:sz w:val="22"/>
          <w:szCs w:val="22"/>
          <w:lang w:val="en-GB" w:eastAsia="ro-RO"/>
        </w:rPr>
      </w:pPr>
      <w:r w:rsidRPr="004C0B61">
        <w:rPr>
          <w:rFonts w:ascii="Trebuchet MS" w:hAnsi="Trebuchet MS" w:cs="Arial"/>
          <w:noProof/>
          <w:sz w:val="22"/>
          <w:szCs w:val="22"/>
          <w:lang w:val="en-GB"/>
        </w:rPr>
        <w:t>For __________ Against_________ Abstain_________</w:t>
      </w:r>
    </w:p>
    <w:p w14:paraId="22C4CF12" w14:textId="58181B03" w:rsidR="004C0B61" w:rsidRDefault="004C0B61" w:rsidP="00D14478">
      <w:pPr>
        <w:spacing w:before="240"/>
        <w:rPr>
          <w:rFonts w:ascii="Trebuchet MS" w:hAnsi="Trebuchet MS" w:cs="Arial"/>
          <w:noProof/>
          <w:sz w:val="22"/>
          <w:szCs w:val="22"/>
          <w:lang w:val="en-GB" w:eastAsia="ro-RO"/>
        </w:rPr>
      </w:pPr>
    </w:p>
    <w:p w14:paraId="2FD12944" w14:textId="77777777" w:rsidR="00363011" w:rsidRDefault="00363011" w:rsidP="00D14478">
      <w:pPr>
        <w:spacing w:before="240"/>
        <w:rPr>
          <w:rFonts w:ascii="Trebuchet MS" w:hAnsi="Trebuchet MS" w:cs="Arial"/>
          <w:noProof/>
          <w:sz w:val="22"/>
          <w:szCs w:val="22"/>
          <w:lang w:val="en-GB" w:eastAsia="ro-RO"/>
        </w:rPr>
      </w:pPr>
    </w:p>
    <w:p w14:paraId="07F21753" w14:textId="6194C134"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6D757CAD" w14:textId="77777777" w:rsidR="00D14478" w:rsidRPr="001D116A" w:rsidRDefault="00D14478" w:rsidP="00D14478">
      <w:pPr>
        <w:jc w:val="both"/>
        <w:rPr>
          <w:rFonts w:ascii="Trebuchet MS" w:hAnsi="Trebuchet MS" w:cs="Arial"/>
          <w:noProof/>
          <w:sz w:val="22"/>
          <w:szCs w:val="22"/>
          <w:lang w:val="en-GB" w:eastAsia="ro-RO"/>
        </w:rPr>
      </w:pPr>
    </w:p>
    <w:p w14:paraId="4F3CFB86"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18A1520" w14:textId="7F2F2CD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30</w:t>
      </w:r>
      <w:r w:rsidR="00F32950">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F32950">
        <w:rPr>
          <w:rFonts w:ascii="Trebuchet MS" w:hAnsi="Trebuchet MS" w:cs="Arial"/>
          <w:b/>
          <w:noProof/>
          <w:sz w:val="22"/>
          <w:szCs w:val="22"/>
          <w:lang w:val="en-GB"/>
        </w:rPr>
        <w:t xml:space="preserve">April </w:t>
      </w:r>
      <w:r w:rsidR="004C0B61">
        <w:rPr>
          <w:rFonts w:ascii="Trebuchet MS" w:hAnsi="Trebuchet MS" w:cs="Arial"/>
          <w:b/>
          <w:noProof/>
          <w:sz w:val="22"/>
          <w:szCs w:val="22"/>
          <w:lang w:val="en-GB"/>
        </w:rPr>
        <w:t>29</w:t>
      </w:r>
      <w:r w:rsidR="00F32950">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9595779" w14:textId="354D0195"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F32950">
        <w:rPr>
          <w:rFonts w:ascii="Trebuchet MS" w:hAnsi="Trebuchet MS" w:cs="Arial"/>
          <w:b/>
          <w:noProof/>
          <w:sz w:val="22"/>
          <w:szCs w:val="22"/>
          <w:lang w:val="en-GB"/>
        </w:rPr>
        <w:t>April 2</w:t>
      </w:r>
      <w:r w:rsidR="004C0B61">
        <w:rPr>
          <w:rFonts w:ascii="Trebuchet MS" w:hAnsi="Trebuchet MS" w:cs="Arial"/>
          <w:b/>
          <w:noProof/>
          <w:sz w:val="22"/>
          <w:szCs w:val="22"/>
          <w:lang w:val="en-GB"/>
        </w:rPr>
        <w:t>7</w:t>
      </w:r>
      <w:r w:rsidR="00F32950">
        <w:rPr>
          <w:rFonts w:ascii="Trebuchet MS" w:hAnsi="Trebuchet MS" w:cs="Arial"/>
          <w:b/>
          <w:noProof/>
          <w:sz w:val="22"/>
          <w:szCs w:val="22"/>
          <w:lang w:val="en-GB"/>
        </w:rPr>
        <w:t>,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37D97B2" w14:textId="77777777" w:rsidR="00F66253" w:rsidRPr="006D0330" w:rsidRDefault="00D14478" w:rsidP="00F66253">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431603B"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54585BC" w14:textId="77777777"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4C0B61">
      <w:footerReference w:type="even" r:id="rId8"/>
      <w:footerReference w:type="default" r:id="rId9"/>
      <w:pgSz w:w="11907" w:h="16840" w:code="9"/>
      <w:pgMar w:top="1350" w:right="1287" w:bottom="54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7D06" w14:textId="77777777" w:rsidR="0035624E" w:rsidRDefault="0035624E">
      <w:r>
        <w:separator/>
      </w:r>
    </w:p>
  </w:endnote>
  <w:endnote w:type="continuationSeparator" w:id="0">
    <w:p w14:paraId="032E23AB" w14:textId="77777777" w:rsidR="0035624E" w:rsidRDefault="0035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3562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3562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BEAA" w14:textId="77777777" w:rsidR="0035624E" w:rsidRDefault="0035624E">
      <w:r>
        <w:separator/>
      </w:r>
    </w:p>
  </w:footnote>
  <w:footnote w:type="continuationSeparator" w:id="0">
    <w:p w14:paraId="7CF16A1F" w14:textId="77777777" w:rsidR="0035624E" w:rsidRDefault="0035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2"/>
  </w:num>
  <w:num w:numId="10">
    <w:abstractNumId w:val="3"/>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6B1E"/>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8F3"/>
    <w:rsid w:val="00263A10"/>
    <w:rsid w:val="00282175"/>
    <w:rsid w:val="00282675"/>
    <w:rsid w:val="002954D4"/>
    <w:rsid w:val="002A5346"/>
    <w:rsid w:val="002B7E83"/>
    <w:rsid w:val="002C060D"/>
    <w:rsid w:val="002C3AC6"/>
    <w:rsid w:val="00303AB5"/>
    <w:rsid w:val="00312ADE"/>
    <w:rsid w:val="00312E0C"/>
    <w:rsid w:val="003143D8"/>
    <w:rsid w:val="00342C63"/>
    <w:rsid w:val="003521C5"/>
    <w:rsid w:val="0035545B"/>
    <w:rsid w:val="0035624E"/>
    <w:rsid w:val="00363011"/>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0B61"/>
    <w:rsid w:val="004C2862"/>
    <w:rsid w:val="004C3626"/>
    <w:rsid w:val="004C786B"/>
    <w:rsid w:val="004E6C2D"/>
    <w:rsid w:val="00504A88"/>
    <w:rsid w:val="005125B2"/>
    <w:rsid w:val="00512FD0"/>
    <w:rsid w:val="005248D0"/>
    <w:rsid w:val="00525E16"/>
    <w:rsid w:val="00525E23"/>
    <w:rsid w:val="00554602"/>
    <w:rsid w:val="00570401"/>
    <w:rsid w:val="005716B7"/>
    <w:rsid w:val="00571A83"/>
    <w:rsid w:val="0058598F"/>
    <w:rsid w:val="005C6E9F"/>
    <w:rsid w:val="005E3CF4"/>
    <w:rsid w:val="005E61AF"/>
    <w:rsid w:val="0060359E"/>
    <w:rsid w:val="0064063A"/>
    <w:rsid w:val="00641321"/>
    <w:rsid w:val="00650D2F"/>
    <w:rsid w:val="006626B9"/>
    <w:rsid w:val="00667F99"/>
    <w:rsid w:val="00681C91"/>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06C5"/>
    <w:rsid w:val="00852868"/>
    <w:rsid w:val="00855C94"/>
    <w:rsid w:val="00875BA3"/>
    <w:rsid w:val="00880316"/>
    <w:rsid w:val="00887CE7"/>
    <w:rsid w:val="00892027"/>
    <w:rsid w:val="008945B9"/>
    <w:rsid w:val="00894859"/>
    <w:rsid w:val="00895588"/>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736006903">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171</cp:revision>
  <dcterms:created xsi:type="dcterms:W3CDTF">2018-08-15T19:26:00Z</dcterms:created>
  <dcterms:modified xsi:type="dcterms:W3CDTF">2025-03-28T14:35:00Z</dcterms:modified>
</cp:coreProperties>
</file>